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实验数据报告</w:t>
      </w:r>
    </w:p>
    <w:p>
      <w:pPr>
        <w:rPr>
          <w:rFonts w:hint="eastAsia"/>
          <w:lang w:val="en-US" w:eastAsia="zh-CN"/>
        </w:rPr>
      </w:pPr>
      <w:r>
        <w:rPr>
          <w:rFonts w:hint="eastAsia"/>
          <w:lang w:val="en-US" w:eastAsia="zh-CN"/>
        </w:rPr>
        <w:t>使用打印机：SLASH光固化</w:t>
      </w:r>
    </w:p>
    <w:p>
      <w:pPr>
        <w:rPr>
          <w:rFonts w:hint="eastAsia"/>
          <w:lang w:val="en-US" w:eastAsia="zh-CN"/>
        </w:rPr>
      </w:pPr>
      <w:r>
        <w:rPr>
          <w:rFonts w:hint="eastAsia"/>
          <w:lang w:val="en-US" w:eastAsia="zh-CN"/>
        </w:rPr>
        <w:t>铺满树脂槽：85ml（即可打印状态）</w:t>
      </w:r>
    </w:p>
    <w:p>
      <w:pPr>
        <w:rPr>
          <w:rFonts w:hint="eastAsia"/>
          <w:lang w:val="en-US" w:eastAsia="zh-CN"/>
        </w:rPr>
      </w:pPr>
    </w:p>
    <w:p>
      <w:pPr>
        <w:rPr>
          <w:rFonts w:hint="eastAsia"/>
          <w:lang w:val="en-US" w:eastAsia="zh-CN"/>
        </w:rPr>
      </w:pPr>
      <w:r>
        <w:rPr>
          <w:rFonts w:hint="eastAsia"/>
          <w:lang w:val="en-US" w:eastAsia="zh-CN"/>
        </w:rPr>
        <w:t>蠕动泵泵树脂</w:t>
      </w:r>
    </w:p>
    <w:p>
      <w:pPr>
        <w:rPr>
          <w:rFonts w:hint="eastAsia"/>
          <w:lang w:val="en-US" w:eastAsia="zh-CN"/>
        </w:rPr>
      </w:pPr>
      <w:r>
        <w:rPr>
          <w:rFonts w:hint="eastAsia"/>
          <w:lang w:val="en-US" w:eastAsia="zh-CN"/>
        </w:rPr>
        <w:t>树脂：禾塑光固化透明</w:t>
      </w:r>
    </w:p>
    <w:p>
      <w:pPr>
        <w:rPr>
          <w:rFonts w:hint="default"/>
          <w:lang w:val="en-US" w:eastAsia="zh-CN"/>
        </w:rPr>
      </w:pPr>
      <w:r>
        <w:rPr>
          <w:rFonts w:hint="eastAsia"/>
          <w:lang w:val="en-US" w:eastAsia="zh-CN"/>
        </w:rPr>
        <w:t>输入管道长度：229mm</w:t>
      </w:r>
    </w:p>
    <w:p>
      <w:pPr>
        <w:rPr>
          <w:rFonts w:hint="default"/>
          <w:lang w:val="en-US" w:eastAsia="zh-CN"/>
        </w:rPr>
      </w:pPr>
      <w:r>
        <w:rPr>
          <w:rFonts w:hint="eastAsia"/>
          <w:lang w:val="en-US" w:eastAsia="zh-CN"/>
        </w:rPr>
        <w:t>输出管道长度：234mm</w:t>
      </w:r>
    </w:p>
    <w:p>
      <w:pPr>
        <w:rPr>
          <w:rFonts w:hint="default"/>
          <w:lang w:val="en-US" w:eastAsia="zh-CN"/>
        </w:rPr>
      </w:pPr>
      <w:r>
        <w:rPr>
          <w:rFonts w:hint="eastAsia"/>
          <w:lang w:val="en-US" w:eastAsia="zh-CN"/>
        </w:rPr>
        <w:t>管道内径：4mm</w:t>
      </w:r>
    </w:p>
    <w:p>
      <w:pPr>
        <w:rPr>
          <w:rFonts w:hint="default"/>
          <w:lang w:val="en-US" w:eastAsia="zh-CN"/>
        </w:rPr>
      </w:pPr>
      <w:r>
        <w:rPr>
          <w:rFonts w:hint="eastAsia"/>
          <w:lang w:val="en-US" w:eastAsia="zh-CN"/>
        </w:rPr>
        <w:t>管道外径：6mm</w:t>
      </w:r>
    </w:p>
    <w:p>
      <w:pPr>
        <w:rPr>
          <w:rFonts w:hint="default"/>
          <w:lang w:val="en-US" w:eastAsia="zh-CN"/>
        </w:rPr>
      </w:pPr>
      <w:r>
        <w:rPr>
          <w:rFonts w:hint="eastAsia"/>
          <w:lang w:val="en-US" w:eastAsia="zh-CN"/>
        </w:rPr>
        <w:t>管道滞留树脂：11ml/89600步（6400步一圈）</w:t>
      </w:r>
    </w:p>
    <w:p>
      <w:pPr>
        <w:rPr>
          <w:rFonts w:hint="eastAsia"/>
          <w:lang w:val="en-US" w:eastAsia="zh-CN"/>
        </w:rPr>
      </w:pPr>
      <w:r>
        <w:rPr>
          <w:rFonts w:hint="eastAsia"/>
          <w:lang w:val="en-US" w:eastAsia="zh-CN"/>
        </w:rPr>
        <w:t>初次10ml单位树脂输入：160500步</w:t>
      </w:r>
    </w:p>
    <w:p>
      <w:pPr>
        <w:rPr>
          <w:rFonts w:hint="eastAsia"/>
          <w:lang w:val="en-US" w:eastAsia="zh-CN"/>
        </w:rPr>
      </w:pPr>
      <w:r>
        <w:rPr>
          <w:rFonts w:hint="eastAsia"/>
          <w:lang w:val="en-US" w:eastAsia="zh-CN"/>
        </w:rPr>
        <w:t>无回流单位10ml：70900步</w:t>
      </w:r>
    </w:p>
    <w:p>
      <w:pPr>
        <w:rPr>
          <w:rFonts w:hint="eastAsia"/>
          <w:lang w:val="en-US" w:eastAsia="zh-CN"/>
        </w:rPr>
      </w:pPr>
      <w:r>
        <w:rPr>
          <w:rFonts w:hint="eastAsia"/>
          <w:lang w:val="en-US" w:eastAsia="zh-CN"/>
        </w:rPr>
        <w:t>160500步回流清空后10ml单位树脂输入：108400步</w:t>
      </w:r>
    </w:p>
    <w:p>
      <w:pPr>
        <w:rPr>
          <w:rFonts w:hint="eastAsia"/>
          <w:lang w:val="en-US" w:eastAsia="zh-CN"/>
        </w:rPr>
      </w:pPr>
    </w:p>
    <w:p>
      <w:pPr>
        <w:rPr>
          <w:rFonts w:hint="eastAsia"/>
          <w:lang w:val="en-US" w:eastAsia="zh-CN"/>
        </w:rPr>
      </w:pPr>
      <w:r>
        <w:rPr>
          <w:rFonts w:hint="eastAsia"/>
          <w:lang w:val="en-US" w:eastAsia="zh-CN"/>
        </w:rPr>
        <w:t>计算数据：</w:t>
      </w:r>
    </w:p>
    <w:p>
      <w:pPr>
        <w:rPr>
          <w:rFonts w:hint="eastAsia"/>
          <w:lang w:val="en-US" w:eastAsia="zh-CN"/>
        </w:rPr>
      </w:pPr>
      <w:r>
        <w:rPr>
          <w:rFonts w:hint="eastAsia"/>
          <w:lang w:val="en-US" w:eastAsia="zh-CN"/>
        </w:rPr>
        <w:t>同上管道数据下</w:t>
      </w:r>
    </w:p>
    <w:p>
      <w:pPr>
        <w:rPr>
          <w:rFonts w:hint="eastAsia"/>
          <w:lang w:val="en-US" w:eastAsia="zh-CN"/>
        </w:rPr>
      </w:pPr>
      <w:r>
        <w:rPr>
          <w:rFonts w:hint="eastAsia"/>
          <w:lang w:val="en-US" w:eastAsia="zh-CN"/>
        </w:rPr>
        <w:t>初次1ml单位树脂输入：96690步</w:t>
      </w:r>
    </w:p>
    <w:p>
      <w:pPr>
        <w:rPr>
          <w:rFonts w:hint="eastAsia"/>
          <w:lang w:val="en-US" w:eastAsia="zh-CN"/>
        </w:rPr>
      </w:pPr>
      <w:r>
        <w:rPr>
          <w:rFonts w:hint="eastAsia"/>
          <w:lang w:val="en-US" w:eastAsia="zh-CN"/>
        </w:rPr>
        <w:t>无回流单位1ml：7090步</w:t>
      </w:r>
    </w:p>
    <w:p>
      <w:pPr>
        <w:rPr>
          <w:rFonts w:hint="eastAsia"/>
          <w:lang w:val="en-US" w:eastAsia="zh-CN"/>
        </w:rPr>
      </w:pPr>
      <w:r>
        <w:rPr>
          <w:rFonts w:hint="eastAsia"/>
          <w:lang w:val="en-US" w:eastAsia="zh-CN"/>
        </w:rPr>
        <w:t>16050步回流清空后1ml单位树脂输入：64000步</w:t>
      </w:r>
    </w:p>
    <w:p>
      <w:pPr>
        <w:rPr>
          <w:rFonts w:hint="default"/>
          <w:lang w:val="en-US" w:eastAsia="zh-CN"/>
        </w:rPr>
      </w:pPr>
    </w:p>
    <w:p>
      <w:pPr>
        <w:rPr>
          <w:rFonts w:hint="eastAsia"/>
          <w:lang w:val="en-US" w:eastAsia="zh-CN"/>
        </w:rPr>
      </w:pPr>
      <w:r>
        <w:rPr>
          <w:rFonts w:hint="eastAsia"/>
          <w:lang w:val="en-US" w:eastAsia="zh-CN"/>
        </w:rPr>
        <w:t>铺满slash光固化平台所需：692250步（初次输入）</w:t>
      </w:r>
    </w:p>
    <w:p>
      <w:pPr>
        <w:rPr>
          <w:rFonts w:hint="default"/>
          <w:lang w:val="en-US" w:eastAsia="zh-CN"/>
        </w:rPr>
      </w:pPr>
      <w:r>
        <w:rPr>
          <w:rFonts w:hint="eastAsia"/>
          <w:lang w:val="en-US" w:eastAsia="zh-CN"/>
        </w:rPr>
        <w:t>铺满slash光固化平台所需：602650步（重复输入）</w:t>
      </w:r>
    </w:p>
    <w:p>
      <w:pPr>
        <w:rPr>
          <w:rFonts w:hint="default"/>
          <w:lang w:val="en-US" w:eastAsia="zh-CN"/>
        </w:rPr>
      </w:pPr>
      <w:r>
        <w:rPr>
          <w:rFonts w:hint="eastAsia"/>
          <w:lang w:val="en-US" w:eastAsia="zh-CN"/>
        </w:rPr>
        <w:t>通过实验可知单次层换液方案可行，需设计倾斜装置集中液体抽取换液</w:t>
      </w:r>
    </w:p>
    <w:p>
      <w:pPr>
        <w:rPr>
          <w:rFonts w:hint="eastAsia"/>
          <w:lang w:val="en-US" w:eastAsia="zh-CN"/>
        </w:rPr>
      </w:pPr>
      <w:r>
        <w:rPr>
          <w:rFonts w:hint="eastAsia"/>
          <w:lang w:val="en-US" w:eastAsia="zh-CN"/>
        </w:rPr>
        <w:t>抽取液体后重新输入铺满slash光固化平台所需：659560步</w:t>
      </w:r>
    </w:p>
    <w:p>
      <w:pPr>
        <w:rPr>
          <w:rFonts w:hint="default"/>
          <w:lang w:val="en-US" w:eastAsia="zh-CN"/>
        </w:rPr>
      </w:pPr>
    </w:p>
    <w:p>
      <w:pPr>
        <w:rPr>
          <w:rFonts w:hint="eastAsia"/>
          <w:lang w:val="en-US" w:eastAsia="zh-CN"/>
        </w:rPr>
      </w:pPr>
      <w:r>
        <w:rPr>
          <w:rFonts w:hint="eastAsia"/>
          <w:lang w:val="en-US" w:eastAsia="zh-CN"/>
        </w:rPr>
        <w:t>同上管道数据下标定数据：</w:t>
      </w:r>
    </w:p>
    <w:p>
      <w:pPr>
        <w:rPr>
          <w:rFonts w:hint="default"/>
          <w:lang w:val="en-US" w:eastAsia="zh-CN"/>
        </w:rPr>
      </w:pPr>
      <w:r>
        <w:rPr>
          <w:rFonts w:hint="default"/>
          <w:lang w:val="en-US" w:eastAsia="zh-CN"/>
        </w:rPr>
        <w:drawing>
          <wp:inline distT="0" distB="0" distL="114300" distR="114300">
            <wp:extent cx="2423160" cy="2150745"/>
            <wp:effectExtent l="4445" t="4445" r="10795" b="8890"/>
            <wp:docPr id="1" name="图表 1" descr="7b0a202020202263686172745265734964223a20223230343732323630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pPr>
        <w:rPr>
          <w:rFonts w:hint="default"/>
          <w:lang w:val="en-US" w:eastAsia="zh-CN"/>
        </w:rPr>
      </w:pPr>
    </w:p>
    <w:p>
      <w:pPr>
        <w:rPr>
          <w:rFonts w:hint="default"/>
          <w:lang w:val="en-US" w:eastAsia="zh-CN"/>
        </w:rPr>
      </w:pPr>
      <w:r>
        <w:rPr>
          <w:rFonts w:hint="eastAsia"/>
          <w:lang w:val="en-US" w:eastAsia="zh-CN"/>
        </w:rPr>
        <w:t>由此数据计算可得不同型号大小管道下入液单位毫升所需步数以及不同打印机下铺满液槽所需步数</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84247"/>
    <w:rsid w:val="52A944FC"/>
    <w:rsid w:val="70A84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t>图表标题</a:t>
            </a:r>
          </a:p>
        </c:rich>
      </c:tx>
      <c:layout/>
      <c:overlay val="0"/>
      <c:spPr>
        <a:noFill/>
        <a:ln>
          <a:noFill/>
        </a:ln>
        <a:effectLst/>
      </c:spPr>
    </c:title>
    <c:autoTitleDeleted val="0"/>
    <c:plotArea>
      <c:layout/>
      <c:lineChart>
        <c:grouping val="standard"/>
        <c:varyColors val="0"/>
        <c:ser>
          <c:idx val="0"/>
          <c:order val="0"/>
          <c:tx>
            <c:strRef>
              <c:f>Sheet1!$B$1</c:f>
              <c:strCache>
                <c:ptCount val="1"/>
                <c:pt idx="0">
                  <c:v>6mm/4mm</c:v>
                </c:pt>
              </c:strCache>
            </c:strRef>
          </c:tx>
          <c:spPr>
            <a:ln w="28575" cap="rnd">
              <a:solidFill>
                <a:srgbClr val="FA7A55"/>
              </a:solidFill>
              <a:round/>
            </a:ln>
            <a:effectLst/>
          </c:spPr>
          <c:marker>
            <c:symbol val="none"/>
          </c:marker>
          <c:dLbls>
            <c:delete val="1"/>
          </c:dLbls>
          <c:cat>
            <c:strRef>
              <c:f>Sheet1!$A$2:$A$10</c:f>
              <c:strCache>
                <c:ptCount val="9"/>
                <c:pt idx="0">
                  <c:v>1ml</c:v>
                </c:pt>
                <c:pt idx="1">
                  <c:v>2ml</c:v>
                </c:pt>
                <c:pt idx="2">
                  <c:v>5ml</c:v>
                </c:pt>
                <c:pt idx="3">
                  <c:v>10ml</c:v>
                </c:pt>
                <c:pt idx="4">
                  <c:v>15ml</c:v>
                </c:pt>
                <c:pt idx="5">
                  <c:v>20ml</c:v>
                </c:pt>
                <c:pt idx="6">
                  <c:v>25ml</c:v>
                </c:pt>
                <c:pt idx="7">
                  <c:v>30ml</c:v>
                </c:pt>
                <c:pt idx="8">
                  <c:v>35ml</c:v>
                </c:pt>
              </c:strCache>
            </c:strRef>
          </c:cat>
          <c:val>
            <c:numRef>
              <c:f>Sheet1!$B$2:$B$10</c:f>
              <c:numCache>
                <c:formatCode>General</c:formatCode>
                <c:ptCount val="9"/>
                <c:pt idx="0">
                  <c:v>64000</c:v>
                </c:pt>
                <c:pt idx="1">
                  <c:v>70400</c:v>
                </c:pt>
                <c:pt idx="2">
                  <c:v>89600</c:v>
                </c:pt>
                <c:pt idx="3">
                  <c:v>108400</c:v>
                </c:pt>
                <c:pt idx="4">
                  <c:v>140400</c:v>
                </c:pt>
                <c:pt idx="5">
                  <c:v>178800</c:v>
                </c:pt>
                <c:pt idx="6">
                  <c:v>204400</c:v>
                </c:pt>
                <c:pt idx="7">
                  <c:v>242800</c:v>
                </c:pt>
                <c:pt idx="8">
                  <c:v>281200</c:v>
                </c:pt>
              </c:numCache>
            </c:numRef>
          </c:val>
          <c:smooth val="1"/>
        </c:ser>
        <c:dLbls>
          <c:showLegendKey val="0"/>
          <c:showVal val="0"/>
          <c:showCatName val="0"/>
          <c:showSerName val="0"/>
          <c:showPercent val="0"/>
          <c:showBubbleSize val="0"/>
        </c:dLbls>
        <c:marker val="0"/>
        <c:smooth val="1"/>
        <c:axId val="351291575"/>
        <c:axId val="187966349"/>
      </c:lineChart>
      <c:catAx>
        <c:axId val="351291575"/>
        <c:scaling>
          <c:orientation val="minMax"/>
        </c:scaling>
        <c:delete val="0"/>
        <c:axPos val="b"/>
        <c:majorGridlines>
          <c:spPr>
            <a:ln w="9525" cap="flat" cmpd="sng" algn="ctr">
              <a:solidFill>
                <a:schemeClr val="tx1">
                  <a:lumMod val="15000"/>
                  <a:lumOff val="85000"/>
                </a:schemeClr>
              </a:solidFill>
              <a:round/>
            </a:ln>
            <a:effectLst/>
          </c:spPr>
        </c:majorGridlines>
        <c:title>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title>
        <c:majorTickMark val="out"/>
        <c:minorTickMark val="none"/>
        <c:tickLblPos val="nextTo"/>
        <c:spPr>
          <a:noFill/>
          <a:ln w="9525" cap="flat" cmpd="sng" algn="ctr">
            <a:solidFill>
              <a:schemeClr val="bg1">
                <a:lumMod val="7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87966349"/>
        <c:crosses val="autoZero"/>
        <c:auto val="1"/>
        <c:lblAlgn val="ctr"/>
        <c:lblOffset val="100"/>
        <c:noMultiLvlLbl val="0"/>
      </c:catAx>
      <c:valAx>
        <c:axId val="187966349"/>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title>
        <c:numFmt formatCode="General" sourceLinked="1"/>
        <c:majorTickMark val="out"/>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351291575"/>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forceAA="0"/>
        <a:lstStyle/>
        <a:p>
          <a:pPr>
            <a:defRPr lang="zh-CN" sz="900" b="0" i="0" u="none" strike="noStrike" kern="1200" baseline="0">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solidFill>
      <a:schemeClr val="bg1"/>
    </a:solidFill>
    <a:ln w="9525" cap="flat" cmpd="sng" algn="ctr">
      <a:solidFill>
        <a:schemeClr val="bg1">
          <a:lumMod val="85000"/>
        </a:schemeClr>
      </a:solidFill>
      <a:round/>
    </a:ln>
    <a:effectLst/>
  </c:spPr>
  <c:txPr>
    <a:bodyPr/>
    <a:lstStyle/>
    <a:p>
      <a:pPr>
        <a:defRPr lang="zh-CN">
          <a:solidFill>
            <a:schemeClr val="tx1">
              <a:lumMod val="65000"/>
              <a:lumOff val="3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Overrid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fillRect/>
        </a:stretch>
      </a:blip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2021-09-03T06:49:00Z</dcterms:created>
  <dc:creator>弦～震～鸣～鼎</dc:creator>
  <cp:lastModifiedBy>弦～震～鸣～鼎</cp:lastModifiedBy>
  <dcterms:modified xsi:type="dcterms:W3CDTF">2021-09-03T08:58:27Z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51C325474A2D439E99656C8A8E01A685</vt:lpwstr>
  </property>
</Properties>
</file>