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qflvph1hy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Scope Management Plan — ORBIT NODE (Neo4j Schema &amp; Implementation)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Yashav Bhatnagar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62ci69h5r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concise, high-level statement of what the Neo4j schema &amp; implementation effort will deliver for the ORBIT NODE and how the team will manage that scope.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deliver a privacy-aware, production-ready knowledge-graph model (Neo4j) for Node responsibilities — asset inventory, vulnerability &amp; sensitivity metadata, ActionCard lifecycle, simple prioritization and delta exports for Core — while keeping the interface clear for integrators.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/>
      </w:pPr>
      <w:bookmarkStart w:colFirst="0" w:colLast="0" w:name="_lxw3ikx3bdw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Summary (high level)</w:t>
      </w: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65"/>
        <w:gridCol w:w="4655"/>
        <w:tblGridChange w:id="0">
          <w:tblGrid>
            <w:gridCol w:w="4565"/>
            <w:gridCol w:w="4655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of the property-graph ontology (labels, relationships, key properties)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Building Core services or Core-side ingestion/consumption logic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rules and structure needed to safely build and maintain the Neo4j graph.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 Node Agent runtime/application code (only templates and contracts provided)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Ingestion mapping templates (conceptual Cypher patterns) and delta/export contract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Presidio model training/tuning, Wazuh agent ops, or UI dashboards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ActionCard representation and lifecycle (graph-level)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Hosting procurement, production infra provisioning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Privacy-by-design rules (PII minimization, anonymized exports)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Long-term PII storage or vault operation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a83adcgo0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Key Deliverables (summary table)</w:t>
      </w:r>
    </w:p>
    <w:tbl>
      <w:tblPr>
        <w:tblStyle w:val="Table2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8370"/>
        <w:tblGridChange w:id="0">
          <w:tblGrid>
            <w:gridCol w:w="735"/>
            <w:gridCol w:w="8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 (high level)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Graph ontology &amp; data dictionary (conceptual model)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Schema guidance (constraints/index patterns + versioning approach)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Integration contracts (ActionCard &amp; delta payload examples)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Ingestion templates (conceptual, idempotent patterns)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Priority / scoring approach (conceptual &amp; usage notes)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Migration &amp; minimal ops checklist (high level)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package (overview docs + handover notes)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e3thdmh9m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Roles &amp; Responsibilities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l73c6jwxn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Internal Module Team (ORBIT NODE)- Yashav Bhatnagar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5"/>
        <w:gridCol w:w="6485"/>
        <w:tblGridChange w:id="0">
          <w:tblGrid>
            <w:gridCol w:w="2735"/>
            <w:gridCol w:w="6485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 (summary)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Neo4j Schema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Owns the graph model, writes the schema guidance and mapping templates, authors migration notes and documentation.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Integrator / Node Agent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Uses provided templates/contracts to implement ingestion and delta/exports; handles retries/batching in application code.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Contributor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Validates PII minimization approach and approves anonymization/ hashing rules.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Analytics Contributor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Defines high-level priority/scoring logic and advises on when to use GDS for heavier analytics.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o0n8nlj1j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External Integration Stakeholders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5775"/>
        <w:gridCol w:w="1740"/>
        <w:tblGridChange w:id="0">
          <w:tblGrid>
            <w:gridCol w:w="1830"/>
            <w:gridCol w:w="5775"/>
            <w:gridCol w:w="1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 (summary)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Agree on ActionCard/delta contract and consume Node exports.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 Team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Presidio / Data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sensitivity outputs and normalization guidance.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Anushka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Wazuh / Telemetry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telemetry formats and canonical identifiers for hosts/assets.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Sharif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DevOps /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Provision Neo4j staging/production environment and ensure plugin availability (APOC/GDS) if required.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Ayush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1yswrlhmx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High-Level Timeline (phases)</w:t>
      </w:r>
    </w:p>
    <w:tbl>
      <w:tblPr>
        <w:tblStyle w:val="Table5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4095"/>
        <w:gridCol w:w="1680"/>
        <w:tblGridChange w:id="0">
          <w:tblGrid>
            <w:gridCol w:w="3375"/>
            <w:gridCol w:w="4095"/>
            <w:gridCol w:w="168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 (deliverable focus)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1 — Model &amp; Contracts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 D1, D3 (ontology + contracts)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23rd Feb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2 — Schema Guidance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 D2, D4 (schema guidance + templates)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4th March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3 — Priority &amp; 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 D5, D6 (priority approach + ops checklist)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10th March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Phase 4 — Documentation &amp; Handover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 D7; coordinate 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16th March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hg2rvux9x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High-Level Risks &amp; Mitigations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4.688995215311"/>
        <w:gridCol w:w="1035.0239234449762"/>
        <w:gridCol w:w="5140.287081339712"/>
        <w:tblGridChange w:id="0">
          <w:tblGrid>
            <w:gridCol w:w="3184.688995215311"/>
            <w:gridCol w:w="1035.0239234449762"/>
            <w:gridCol w:w="5140.287081339712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(brief)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PII handling mistakes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Enforce privacy-by-design: only store hashed/pseudonymized identifiers; Security contributor sign-off.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Overly complex model causing performance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 model focused on required queries; recommend using GDS only for heavy analytics.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 implementer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Prioritize D1–D3 first; provide clear, small templates to reduce integrator effort.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/>
      </w:pPr>
      <w:bookmarkStart w:colFirst="0" w:colLast="0" w:name="_uvcf8e4rh36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Constraints &amp; Assumptions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 provides graph-level artifacts; application-level ingestion and infra are delivered by integrators/DevOps.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Presidio outputs are treated as metadata; raw PII is not persisted in Neo4j.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will review and accept the ActionCard &amp; delta contract before full integration.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pk7kftuei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Acceptance Criteria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high-level handoff is complete when: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has approved the ActionCard &amp; delta contract examples.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ontology &amp; schema guidance is published and reviewed by Security contributor.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Integrators have what they need (templates + documentation) to implement ingestion and exports.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