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52"/>
        </w:rPr>
        <w:t>biscuitLab 开发计划</w:t>
      </w:r>
    </w:p>
    <w:p>
      <w:pPr>
        <w:spacing w:after="280"/>
      </w:pPr>
      <w:r>
        <w:rPr>
          <w:color w:val="555555"/>
        </w:rPr>
        <w:t>基于 TangLab_Codex 开发文档整理 / 前端优先实现版</w:t>
      </w:r>
    </w:p>
    <w:p>
      <w:r>
        <w:rPr>
          <w:b/>
        </w:rPr>
        <w:t>项目定位：</w:t>
      </w:r>
      <w:r>
        <w:t>biscuitLab 是一个暗黑科技风个人创意内容站，第一阶段先把前台视觉和主要浏览路径做出来，后端保留可运行、可扩展的 FastAPI 基础壳。</w:t>
      </w:r>
    </w:p>
    <w:p>
      <w:pPr>
        <w:pStyle w:val="Heading1"/>
      </w:pPr>
      <w:r>
        <w:t>1. MVP 范围</w:t>
      </w:r>
    </w:p>
    <w:p>
      <w:pPr>
        <w:pStyle w:val="ListBullet"/>
        <w:spacing w:after="80"/>
      </w:pPr>
      <w:r>
        <w:t>前台先完成首页、文章列表、文章详情、图片资源库、作品集、Lab 占位页，全部使用 mock 数据。</w:t>
      </w:r>
    </w:p>
    <w:p>
      <w:pPr>
        <w:pStyle w:val="ListBullet"/>
        <w:spacing w:after="80"/>
      </w:pPr>
      <w:r>
        <w:t>首页作为第一视觉入口，重点完成暗黑背景、点阵网格、霓虹渐变、玻璃拟态卡片和 hover 动效。</w:t>
      </w:r>
    </w:p>
    <w:p>
      <w:pPr>
        <w:pStyle w:val="ListBullet"/>
        <w:spacing w:after="80"/>
      </w:pPr>
      <w:r>
        <w:t>后端先完成 FastAPI 可运行壳：配置、CORS、健康检查、基础 API 占位路由。</w:t>
      </w:r>
    </w:p>
    <w:p>
      <w:pPr>
        <w:pStyle w:val="ListBullet"/>
        <w:spacing w:after="80"/>
      </w:pPr>
      <w:r>
        <w:t>后台管理系统暂不展开实现，第一阶段只在计划中保留登录、文章、图片、作品管理边界。</w:t>
      </w:r>
    </w:p>
    <w:p>
      <w:pPr>
        <w:pStyle w:val="Heading1"/>
      </w:pPr>
      <w:r>
        <w:t>2. 技术拆分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shd w:fill="F2F4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960"/>
            <w:vAlign w:val="center"/>
            <w:shd w:fill="F2F4F7"/>
          </w:tcPr>
          <w:p>
            <w:r>
              <w:rPr>
                <w:b/>
              </w:rPr>
              <w:t>当前策略</w:t>
            </w:r>
          </w:p>
        </w:tc>
        <w:tc>
          <w:tcPr>
            <w:tcW w:type="dxa" w:w="3744"/>
            <w:vAlign w:val="center"/>
            <w:shd w:fill="F2F4F7"/>
          </w:tcPr>
          <w:p>
            <w:r>
              <w:rPr>
                <w:b/>
              </w:rPr>
              <w:t>后续扩展</w:t>
            </w:r>
          </w:p>
        </w:tc>
      </w:tr>
      <w:tr>
        <w:tc>
          <w:tcPr>
            <w:tcW w:type="dxa" w:w="1656"/>
            <w:vAlign w:val="center"/>
          </w:tcPr>
          <w:p>
            <w:r>
              <w:t>frontend</w:t>
            </w:r>
          </w:p>
        </w:tc>
        <w:tc>
          <w:tcPr>
            <w:tcW w:type="dxa" w:w="3960"/>
            <w:vAlign w:val="center"/>
          </w:tcPr>
          <w:p>
            <w:r>
              <w:t>Nuxt3 / Vue3 / TypeScript / Tailwind CSS，先做完整前台 mock 体验。</w:t>
            </w:r>
          </w:p>
        </w:tc>
        <w:tc>
          <w:tcPr>
            <w:tcW w:type="dxa" w:w="3744"/>
            <w:vAlign w:val="center"/>
          </w:tcPr>
          <w:p>
            <w:r>
              <w:t>接入 FastAPI；补 loading、empty、error 状态；加强 SEO。</w:t>
            </w:r>
          </w:p>
        </w:tc>
      </w:tr>
      <w:tr>
        <w:tc>
          <w:tcPr>
            <w:tcW w:type="dxa" w:w="1656"/>
            <w:vAlign w:val="center"/>
          </w:tcPr>
          <w:p>
            <w:r>
              <w:t>backend</w:t>
            </w:r>
          </w:p>
        </w:tc>
        <w:tc>
          <w:tcPr>
            <w:tcW w:type="dxa" w:w="3960"/>
            <w:vAlign w:val="center"/>
          </w:tcPr>
          <w:p>
            <w:r>
              <w:t>FastAPI 壳，提供 /health 和文章、图片、作品、登录占位接口。</w:t>
            </w:r>
          </w:p>
        </w:tc>
        <w:tc>
          <w:tcPr>
            <w:tcW w:type="dxa" w:w="3744"/>
            <w:vAlign w:val="center"/>
          </w:tcPr>
          <w:p>
            <w:r>
              <w:t>接 MySQL、SQLAlchemy、JWT、上传、本地 uploads。</w:t>
            </w:r>
          </w:p>
        </w:tc>
      </w:tr>
      <w:tr>
        <w:tc>
          <w:tcPr>
            <w:tcW w:type="dxa" w:w="1656"/>
            <w:vAlign w:val="center"/>
          </w:tcPr>
          <w:p>
            <w:r>
              <w:t>admin</w:t>
            </w:r>
          </w:p>
        </w:tc>
        <w:tc>
          <w:tcPr>
            <w:tcW w:type="dxa" w:w="3960"/>
            <w:vAlign w:val="center"/>
          </w:tcPr>
          <w:p>
            <w:r>
              <w:t>本阶段不抢实现，避免拖慢前台视觉定型。</w:t>
            </w:r>
          </w:p>
        </w:tc>
        <w:tc>
          <w:tcPr>
            <w:tcW w:type="dxa" w:w="3744"/>
            <w:vAlign w:val="center"/>
          </w:tcPr>
          <w:p>
            <w:r>
              <w:t>Vue3 / Element Plus / Pinia / Axios，做内容管理后台。</w:t>
            </w:r>
          </w:p>
        </w:tc>
      </w:tr>
      <w:tr>
        <w:tc>
          <w:tcPr>
            <w:tcW w:type="dxa" w:w="1656"/>
            <w:vAlign w:val="center"/>
          </w:tcPr>
          <w:p>
            <w:r>
              <w:t>doc</w:t>
            </w:r>
          </w:p>
        </w:tc>
        <w:tc>
          <w:tcPr>
            <w:tcW w:type="dxa" w:w="3960"/>
            <w:vAlign w:val="center"/>
          </w:tcPr>
          <w:p>
            <w:r>
              <w:t>沉淀开发计划、启动说明、接口约定。</w:t>
            </w:r>
          </w:p>
        </w:tc>
        <w:tc>
          <w:tcPr>
            <w:tcW w:type="dxa" w:w="3744"/>
            <w:vAlign w:val="center"/>
          </w:tcPr>
          <w:p>
            <w:r>
              <w:t>后续补部署手册和联调记录。</w:t>
            </w:r>
          </w:p>
        </w:tc>
      </w:tr>
    </w:tbl>
    <w:p/>
    <w:p>
      <w:pPr>
        <w:pStyle w:val="Heading1"/>
      </w:pPr>
      <w:r>
        <w:t>3. 开发阶段计划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528"/>
            <w:vAlign w:val="center"/>
            <w:shd w:fill="F2F4F7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3888"/>
            <w:vAlign w:val="center"/>
            <w:shd w:fill="F2F4F7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1944"/>
            <w:vAlign w:val="center"/>
          </w:tcPr>
          <w:p>
            <w:r>
              <w:t>阶段 1：前台视觉</w:t>
            </w:r>
          </w:p>
        </w:tc>
        <w:tc>
          <w:tcPr>
            <w:tcW w:type="dxa" w:w="3528"/>
            <w:vAlign w:val="center"/>
          </w:tcPr>
          <w:p>
            <w:r>
              <w:t>完成首页、文章、图片库、作品集和 Lab 占位。</w:t>
            </w:r>
          </w:p>
        </w:tc>
        <w:tc>
          <w:tcPr>
            <w:tcW w:type="dxa" w:w="3888"/>
            <w:vAlign w:val="center"/>
          </w:tcPr>
          <w:p>
            <w:r>
              <w:t>PC 和移动端不崩版；首页有明显视觉冲击；主要导航可用。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阶段 2：后端基础</w:t>
            </w:r>
          </w:p>
        </w:tc>
        <w:tc>
          <w:tcPr>
            <w:tcW w:type="dxa" w:w="3528"/>
            <w:vAlign w:val="center"/>
          </w:tcPr>
          <w:p>
            <w:r>
              <w:t>补齐模型、schemas、统一响应、JWT 登录和数据库初始化。</w:t>
            </w:r>
          </w:p>
        </w:tc>
        <w:tc>
          <w:tcPr>
            <w:tcW w:type="dxa" w:w="3888"/>
            <w:vAlign w:val="center"/>
          </w:tcPr>
          <w:p>
            <w:r>
              <w:t>FastAPI 可启动；接口文档可访问；认证边界清晰。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阶段 3：后台管理</w:t>
            </w:r>
          </w:p>
        </w:tc>
        <w:tc>
          <w:tcPr>
            <w:tcW w:type="dxa" w:w="3528"/>
            <w:vAlign w:val="center"/>
          </w:tcPr>
          <w:p>
            <w:r>
              <w:t>实现登录、文章管理、图片管理、作品管理。</w:t>
            </w:r>
          </w:p>
        </w:tc>
        <w:tc>
          <w:tcPr>
            <w:tcW w:type="dxa" w:w="3888"/>
            <w:vAlign w:val="center"/>
          </w:tcPr>
          <w:p>
            <w:r>
              <w:t>能发布文章、上传图片、维护作品；后台风格简洁稳定。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阶段 4：前后端联调</w:t>
            </w:r>
          </w:p>
        </w:tc>
        <w:tc>
          <w:tcPr>
            <w:tcW w:type="dxa" w:w="3528"/>
            <w:vAlign w:val="center"/>
          </w:tcPr>
          <w:p>
            <w:r>
              <w:t>前台从 mock 数据切到真实接口。</w:t>
            </w:r>
          </w:p>
        </w:tc>
        <w:tc>
          <w:tcPr>
            <w:tcW w:type="dxa" w:w="3888"/>
            <w:vAlign w:val="center"/>
          </w:tcPr>
          <w:p>
            <w:r>
              <w:t>列表、详情、图片下载/复制链接、作品展示均走 API。</w:t>
            </w:r>
          </w:p>
        </w:tc>
      </w:tr>
      <w:tr>
        <w:tc>
          <w:tcPr>
            <w:tcW w:type="dxa" w:w="1944"/>
            <w:vAlign w:val="center"/>
          </w:tcPr>
          <w:p>
            <w:r>
              <w:t>阶段 5：上线与二期</w:t>
            </w:r>
          </w:p>
        </w:tc>
        <w:tc>
          <w:tcPr>
            <w:tcW w:type="dxa" w:w="3528"/>
            <w:vAlign w:val="center"/>
          </w:tcPr>
          <w:p>
            <w:r>
              <w:t>Docker/Nginx/环境变量/部署文档，之后再做留言板和 Lab 实验。</w:t>
            </w:r>
          </w:p>
        </w:tc>
        <w:tc>
          <w:tcPr>
            <w:tcW w:type="dxa" w:w="3888"/>
            <w:vAlign w:val="center"/>
          </w:tcPr>
          <w:p>
            <w:r>
              <w:t>本地和服务器均可运行；二期范围不挤压 MVP。</w:t>
            </w:r>
          </w:p>
        </w:tc>
      </w:tr>
    </w:tbl>
    <w:p/>
    <w:p>
      <w:pPr>
        <w:pStyle w:val="Heading1"/>
      </w:pPr>
      <w:r>
        <w:t>4. 前端页面规划</w:t>
      </w:r>
    </w:p>
    <w:p>
      <w:pPr>
        <w:pStyle w:val="ListBullet"/>
        <w:spacing w:after="80"/>
      </w:pPr>
      <w:r>
        <w:t>首页 /：biscuitLab 品牌 Hero、精选作品、最新文章、图片资源预览、联系方式。</w:t>
      </w:r>
    </w:p>
    <w:p>
      <w:pPr>
        <w:pStyle w:val="ListBullet"/>
        <w:spacing w:after="80"/>
      </w:pPr>
      <w:r>
        <w:t>文章 /articles 与 /articles/:slug：搜索、分类、标签、卡片展示、详情内容、目录和上一篇/下一篇。</w:t>
      </w:r>
    </w:p>
    <w:p>
      <w:pPr>
        <w:pStyle w:val="ListBullet"/>
        <w:spacing w:after="80"/>
      </w:pPr>
      <w:r>
        <w:t>图片库 /gallery：瀑布流、分类筛选、大图预览、下载、复制链接、下载次数展示。</w:t>
      </w:r>
    </w:p>
    <w:p>
      <w:pPr>
        <w:pStyle w:val="ListBullet"/>
        <w:spacing w:after="80"/>
      </w:pPr>
      <w:r>
        <w:t>作品集 /works：项目卡片、技术栈、精选标记、在线预览和 GitHub 链接。</w:t>
      </w:r>
    </w:p>
    <w:p>
      <w:pPr>
        <w:pStyle w:val="ListBullet"/>
        <w:spacing w:after="80"/>
      </w:pPr>
      <w:r>
        <w:t>Lab /lab：第二阶段实验入口，预留粒子背景、AI 对话流、3D 卡片等方向。</w:t>
      </w:r>
    </w:p>
    <w:p>
      <w:pPr>
        <w:pStyle w:val="Heading1"/>
      </w:pPr>
      <w:r>
        <w:t>5. 后端壳规划</w:t>
      </w:r>
    </w:p>
    <w:p>
      <w:pPr>
        <w:pStyle w:val="ListBullet"/>
        <w:spacing w:after="80"/>
      </w:pPr>
      <w:r>
        <w:t>健康检查：GET /health。</w:t>
      </w:r>
    </w:p>
    <w:p>
      <w:pPr>
        <w:pStyle w:val="ListBullet"/>
        <w:spacing w:after="80"/>
      </w:pPr>
      <w:r>
        <w:t>前台占位接口：GET /api/articles、GET /api/images、GET /api/works。</w:t>
      </w:r>
    </w:p>
    <w:p>
      <w:pPr>
        <w:pStyle w:val="ListBullet"/>
        <w:spacing w:after="80"/>
      </w:pPr>
      <w:r>
        <w:t>登录占位接口：POST /api/auth/login。</w:t>
      </w:r>
    </w:p>
    <w:p>
      <w:pPr>
        <w:pStyle w:val="ListBullet"/>
        <w:spacing w:after="80"/>
      </w:pPr>
      <w:r>
        <w:t>后续补齐 users、articles、categories、tags、images、works、messages 数据模型。</w:t>
      </w:r>
    </w:p>
    <w:p>
      <w:pPr>
        <w:pStyle w:val="ListBullet"/>
        <w:spacing w:after="80"/>
      </w:pPr>
      <w:r>
        <w:t>后续引入 MySQL、SQLAlchemy、Pydantic schemas、JWT、上传目录、统一异常处理。</w:t>
      </w:r>
    </w:p>
    <w:p>
      <w:pPr>
        <w:pStyle w:val="Heading1"/>
      </w:pPr>
      <w:r>
        <w:t>6. 当前交付清单</w:t>
      </w:r>
    </w:p>
    <w:p>
      <w:pPr>
        <w:pStyle w:val="ListBullet"/>
        <w:spacing w:after="80"/>
      </w:pPr>
      <w:r>
        <w:t>已创建 frontend Nuxt3 项目骨架和暗黑科技风页面。</w:t>
      </w:r>
    </w:p>
    <w:p>
      <w:pPr>
        <w:pStyle w:val="ListBullet"/>
        <w:spacing w:after="80"/>
      </w:pPr>
      <w:r>
        <w:t>已创建 backend FastAPI 最小服务骨架。</w:t>
      </w:r>
    </w:p>
    <w:p>
      <w:pPr>
        <w:pStyle w:val="ListBullet"/>
        <w:spacing w:after="80"/>
      </w:pPr>
      <w:r>
        <w:t>已将项目命名调整为 biscuitLab。</w:t>
      </w:r>
    </w:p>
    <w:p>
      <w:pPr>
        <w:pStyle w:val="ListBullet"/>
        <w:spacing w:after="80"/>
      </w:pPr>
      <w:r>
        <w:t>已将原始文档内容整理为本开发计划，存放在 doc 目录。</w:t>
      </w:r>
    </w:p>
    <w:p>
      <w:pPr>
        <w:pStyle w:val="Heading1"/>
      </w:pPr>
      <w:r>
        <w:t>7. 下一步建议</w:t>
      </w:r>
    </w:p>
    <w:p>
      <w:pPr>
        <w:pStyle w:val="ListBullet"/>
        <w:spacing w:after="80"/>
      </w:pPr>
      <w:r>
        <w:t>优先人工查看首页视觉，确定是否要更偏霓虹、极客、极简或作品集风。</w:t>
      </w:r>
    </w:p>
    <w:p>
      <w:pPr>
        <w:pStyle w:val="ListBullet"/>
        <w:spacing w:after="80"/>
      </w:pPr>
      <w:r>
        <w:t>确认前台 mock 内容字段后，再开始后端数据模型和接口实现。</w:t>
      </w:r>
    </w:p>
    <w:p>
      <w:pPr>
        <w:pStyle w:val="ListBullet"/>
        <w:spacing w:after="80"/>
      </w:pPr>
      <w:r>
        <w:t>图片库是差异化功能，下载、复制链接、大图预览应作为第一版重点打磨。</w:t>
      </w:r>
    </w:p>
    <w:p>
      <w:pPr>
        <w:pStyle w:val="ListBullet"/>
        <w:spacing w:after="80"/>
      </w:pPr>
      <w:r>
        <w:t>后台保持效率优先，不使用过重动效，避免和前台视觉目标混淆。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biscuitLab 开发计划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