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5A462">
      <w:pPr>
        <w:pStyle w:val="2"/>
      </w:pPr>
      <w:bookmarkStart w:id="0" w:name="esg-emissions-analysis-final-report"/>
      <w:r>
        <w:t>ESG Emissions Analysis — Final Report</w:t>
      </w:r>
    </w:p>
    <w:p w14:paraId="2FA72825">
      <w:pPr>
        <w:pStyle w:val="4"/>
      </w:pPr>
      <w:bookmarkStart w:id="1" w:name="introduction"/>
      <w:r>
        <w:t>Introduction</w:t>
      </w:r>
    </w:p>
    <w:p w14:paraId="623A57F8">
      <w:pPr>
        <w:pStyle w:val="23"/>
      </w:pPr>
      <w:r>
        <w:t>This report presents an Environmental, Social, and Governance (ESG) emissions analysis for major industrial facilities, focusing on greenhouse gas (GHG) emissions across Scope 1, Scope 2, and Scope 3 categories. The objective of this analysis is to identify emission patterns, detect operational inefficiencies, evaluate sustainability risks, and recommend strategies that support Net Zero emission goals by 2050.</w:t>
      </w:r>
    </w:p>
    <w:bookmarkEnd w:id="1"/>
    <w:p w14:paraId="2AB06AA0">
      <w:pPr>
        <w:pStyle w:val="4"/>
      </w:pPr>
      <w:bookmarkStart w:id="2" w:name="objective-of-esg-analysis"/>
      <w:r>
        <w:t>Objective of ESG Analysis</w:t>
      </w:r>
    </w:p>
    <w:p w14:paraId="79F6BB3E">
      <w:pPr>
        <w:pStyle w:val="23"/>
      </w:pPr>
      <w:r>
        <w:t>The primary objectives of the analysis are:</w:t>
      </w:r>
    </w:p>
    <w:p w14:paraId="791618E7">
      <w:pPr>
        <w:pStyle w:val="3"/>
      </w:pPr>
      <w:r>
        <w:t>-To identify high-emitting facilities and dominant emission sources -To analyze quarterly emission trends and operational variability -To detect anomalies and inconsistencies in emissions reporting -To support sustainability-driven strategic decision-making -To recommend emission reduction strategies aligned with ESG and Net Zero goals</w:t>
      </w:r>
    </w:p>
    <w:bookmarkEnd w:id="2"/>
    <w:p w14:paraId="20D205F5">
      <w:pPr>
        <w:pStyle w:val="4"/>
      </w:pPr>
      <w:bookmarkStart w:id="3" w:name="methodology-and-tools-used"/>
      <w:r>
        <w:t>Methodology and Tools Used</w:t>
      </w:r>
    </w:p>
    <w:p w14:paraId="0A84C400">
      <w:pPr>
        <w:pStyle w:val="23"/>
      </w:pPr>
      <w:r>
        <w:t>The analysis was performed using:</w:t>
      </w:r>
    </w:p>
    <w:p w14:paraId="24D756D2">
      <w:pPr>
        <w:pStyle w:val="3"/>
      </w:pPr>
      <w:r>
        <w:t>Microsoft Excel (Pivot Tables, Charts, Dashboarding) Python (Pandas for data cleaning and preprocessing) Streamlit and Plotly for interactive dashboard visualization</w:t>
      </w:r>
    </w:p>
    <w:p w14:paraId="5EB6ED28">
      <w:pPr>
        <w:pStyle w:val="3"/>
      </w:pPr>
      <w:r>
        <w:t>The workflow included:</w:t>
      </w:r>
    </w:p>
    <w:p w14:paraId="57DD854A">
      <w:pPr>
        <w:pStyle w:val="3"/>
      </w:pPr>
      <w:r>
        <w:t>Data cleaning and validation Exploratory data analysis (EDA) Pivot-table based aggregation Dashboard visualization ESG risk assessment and strategic recommendation generation</w:t>
      </w:r>
    </w:p>
    <w:bookmarkEnd w:id="3"/>
    <w:p w14:paraId="3E306A57">
      <w:pPr>
        <w:pStyle w:val="4"/>
      </w:pPr>
      <w:bookmarkStart w:id="4" w:name="data-cleaning"/>
      <w:r>
        <w:t>Data Cleaning</w:t>
      </w:r>
    </w:p>
    <w:p w14:paraId="0336C23F">
      <w:pPr>
        <w:pStyle w:val="23"/>
      </w:pPr>
      <w:r>
        <w:t xml:space="preserve">The original dataset contained several inconsistencies: - </w:t>
      </w:r>
      <w:r>
        <w:rPr>
          <w:b/>
          <w:bCs/>
        </w:rPr>
        <w:t>Duplicate and conflicting facility IDs</w:t>
      </w:r>
      <w:r>
        <w:t xml:space="preserve"> were checked and resolved for unique mapping. - </w:t>
      </w:r>
      <w:r>
        <w:rPr>
          <w:b/>
          <w:bCs/>
        </w:rPr>
        <w:t>Inconsistent GHG type symbols</w:t>
      </w:r>
      <w:r>
        <w:t xml:space="preserve"> (e.g., CO₂, CH₄, N₂O) were standardized. - </w:t>
      </w:r>
      <w:r>
        <w:rPr>
          <w:b/>
          <w:bCs/>
        </w:rPr>
        <w:t>Decimal precision</w:t>
      </w:r>
      <w:r>
        <w:t xml:space="preserve"> was unified for emissions values. - </w:t>
      </w:r>
      <w:r>
        <w:rPr>
          <w:b/>
          <w:bCs/>
        </w:rPr>
        <w:t>Missing values</w:t>
      </w:r>
      <w:r>
        <w:t xml:space="preserve"> were identified and handled. - </w:t>
      </w:r>
      <w:r>
        <w:rPr>
          <w:b/>
          <w:bCs/>
        </w:rPr>
        <w:t>Scope and reporting period formats</w:t>
      </w:r>
      <w:r>
        <w:t xml:space="preserve"> were validated and corrected. - </w:t>
      </w:r>
      <w:r>
        <w:rPr>
          <w:b/>
          <w:bCs/>
        </w:rPr>
        <w:t>Outliers</w:t>
      </w:r>
      <w:r>
        <w:t xml:space="preserve"> were flagged and reviewed for accuracy.</w:t>
      </w:r>
    </w:p>
    <w:p w14:paraId="45CA742A">
      <w:pPr>
        <w:pStyle w:val="3"/>
      </w:pPr>
      <w:r>
        <w:t>These steps ensured a reliable foundation for analysis.</w:t>
      </w:r>
    </w:p>
    <w:bookmarkEnd w:id="4"/>
    <w:p w14:paraId="714CFEA2">
      <w:pPr>
        <w:pStyle w:val="4"/>
      </w:pPr>
      <w:bookmarkStart w:id="5" w:name="key-findings"/>
      <w:r>
        <w:t>Key Findings</w:t>
      </w:r>
    </w:p>
    <w:p w14:paraId="4DABB8FA">
      <w:pPr>
        <w:pStyle w:val="23"/>
      </w:pPr>
      <w:r>
        <w:t>The analysis revealed several important ESG insights:</w:t>
      </w:r>
    </w:p>
    <w:p w14:paraId="14DCA0BF">
      <w:pPr>
        <w:pStyle w:val="3"/>
      </w:pPr>
      <w:r>
        <w:t>Adani Green and Tata Steel were identified as the highest cumulative emitters, contributing significantly to total emissions across reporting periods. Scope 3 emissions represented the largest share of total emissions, indicating substantial indirect environmental impact across supply chains and operational ecosystems. Scope 1 emissions also remained high, highlighting continued dependency on direct fuel combustion and carbon-intensive operations. Quarterly emission analysis showed emission peaks during 2022 Q2, followed by moderate reductions in later quarters; however, fluctuations remained inconsistent. CO₂ was identified as the dominant greenhouse gas contributor, followed by CH₄ and N₂O emissions. Several facilities demonstrated temporary reductions in emissions, but long-term consistency in sustainability performance was limited.</w:t>
      </w:r>
    </w:p>
    <w:p w14:paraId="4792E09F">
      <w:pPr>
        <w:pStyle w:val="3"/>
      </w:pPr>
      <w:r>
        <w:t>Dashboard visualizations and pivot-table analysis further highlighted operational hotspots and facility-level emission concentration patterns.</w:t>
      </w:r>
    </w:p>
    <w:bookmarkEnd w:id="5"/>
    <w:p w14:paraId="146AB63C">
      <w:pPr>
        <w:pStyle w:val="4"/>
      </w:pPr>
      <w:bookmarkStart w:id="6" w:name="challenges"/>
      <w:r>
        <w:t>Challenges</w:t>
      </w:r>
    </w:p>
    <w:p w14:paraId="0D0E6972">
      <w:pPr>
        <w:pStyle w:val="5"/>
      </w:pPr>
      <w:bookmarkStart w:id="7" w:name="high-emissions-in-specific-facilities"/>
      <w:r>
        <w:t>1. High Emissions in Specific Facilities</w:t>
      </w:r>
    </w:p>
    <w:p w14:paraId="56C2EFB8">
      <w:pPr>
        <w:pStyle w:val="24"/>
        <w:numPr>
          <w:ilvl w:val="0"/>
          <w:numId w:val="1"/>
        </w:numPr>
      </w:pPr>
      <w:r>
        <w:t>Adani Green and Tata Steel contribute disproportionately to total emissions levels. This indicates:</w:t>
      </w:r>
    </w:p>
    <w:p w14:paraId="77C24474">
      <w:pPr>
        <w:pStyle w:val="23"/>
      </w:pPr>
      <w:r>
        <w:t>High operational intensity Large-scale industrial activity Dependence on fossil-fuel-based processes</w:t>
      </w:r>
    </w:p>
    <w:p w14:paraId="6B081D74">
      <w:pPr>
        <w:pStyle w:val="3"/>
      </w:pPr>
      <w:r>
        <w:t>These facilities represent major carbon reduction priority areas.</w:t>
      </w:r>
    </w:p>
    <w:bookmarkEnd w:id="7"/>
    <w:p w14:paraId="44C37EEB">
      <w:pPr>
        <w:pStyle w:val="5"/>
      </w:pPr>
      <w:bookmarkStart w:id="8" w:name="scope-1-emissions-dominance"/>
      <w:r>
        <w:t>2. Scope 1 Emissions Dominance</w:t>
      </w:r>
    </w:p>
    <w:p w14:paraId="422FEFFF">
      <w:pPr>
        <w:pStyle w:val="23"/>
      </w:pPr>
      <w:r>
        <w:t>High Scope 1 emissions indicate substantial direct operational emissions from:</w:t>
      </w:r>
    </w:p>
    <w:p w14:paraId="7EA56B6B">
      <w:pPr>
        <w:pStyle w:val="3"/>
      </w:pPr>
      <w:r>
        <w:t>Fuel combustion Industrial processing Energy-intensive manufacturing systems</w:t>
      </w:r>
    </w:p>
    <w:p w14:paraId="428D37E2">
      <w:pPr>
        <w:pStyle w:val="3"/>
      </w:pPr>
      <w:r>
        <w:t>This suggests the need for cleaner technologies and operational optimization.</w:t>
      </w:r>
    </w:p>
    <w:bookmarkEnd w:id="8"/>
    <w:p w14:paraId="08424A15">
      <w:pPr>
        <w:pStyle w:val="5"/>
      </w:pPr>
      <w:bookmarkStart w:id="9" w:name="quarterly-emission-variability"/>
      <w:r>
        <w:t>3. Quarterly Emission Variability</w:t>
      </w:r>
    </w:p>
    <w:p w14:paraId="1554C728">
      <w:pPr>
        <w:pStyle w:val="24"/>
        <w:numPr>
          <w:ilvl w:val="0"/>
          <w:numId w:val="1"/>
        </w:numPr>
      </w:pPr>
      <w:r>
        <w:t>Significant quarter-to-quarter emission fluctuations suggest:</w:t>
      </w:r>
    </w:p>
    <w:p w14:paraId="3C987BE3">
      <w:pPr>
        <w:pStyle w:val="23"/>
      </w:pPr>
      <w:r>
        <w:t>Inconsistent sustainability practices Variable production demand Operational inefficiencies Lack of stable carbon management frameworks</w:t>
      </w:r>
    </w:p>
    <w:p w14:paraId="0CF4C2B4">
      <w:pPr>
        <w:pStyle w:val="3"/>
      </w:pPr>
      <w:r>
        <w:t>Such variability may increase ESG compliance and regulatory risks.</w:t>
      </w:r>
    </w:p>
    <w:bookmarkEnd w:id="6"/>
    <w:bookmarkEnd w:id="9"/>
    <w:p w14:paraId="6EA17A6F">
      <w:pPr>
        <w:pStyle w:val="4"/>
      </w:pPr>
      <w:bookmarkStart w:id="10" w:name="recommendations"/>
      <w:r>
        <w:t>Recommendations</w:t>
      </w:r>
    </w:p>
    <w:p w14:paraId="43F2F27B">
      <w:pPr>
        <w:pStyle w:val="5"/>
      </w:pPr>
      <w:bookmarkStart w:id="11" w:name="net-zero-strategy"/>
      <w:r>
        <w:t>Net Zero Strategy</w:t>
      </w:r>
    </w:p>
    <w:p w14:paraId="6B32AD01">
      <w:pPr>
        <w:pStyle w:val="24"/>
        <w:numPr>
          <w:ilvl w:val="0"/>
          <w:numId w:val="1"/>
        </w:numPr>
      </w:pPr>
      <w:r>
        <w:t>Invest in energy-efficient machinery and process optimization.</w:t>
      </w:r>
    </w:p>
    <w:p w14:paraId="74F9B05F">
      <w:pPr>
        <w:pStyle w:val="24"/>
        <w:numPr>
          <w:ilvl w:val="0"/>
          <w:numId w:val="1"/>
        </w:numPr>
      </w:pPr>
      <w:r>
        <w:t>Accelerate renewable energy adoption (solar, wind, green electricity sourcing).</w:t>
      </w:r>
    </w:p>
    <w:p w14:paraId="6CAC0B83">
      <w:pPr>
        <w:pStyle w:val="24"/>
        <w:numPr>
          <w:ilvl w:val="0"/>
          <w:numId w:val="1"/>
        </w:numPr>
      </w:pPr>
      <w:r>
        <w:t>Engage suppliers with strong ESG credentials to reduce Scope 3 emissions.</w:t>
      </w:r>
    </w:p>
    <w:p w14:paraId="218A5412">
      <w:pPr>
        <w:pStyle w:val="24"/>
        <w:numPr>
          <w:ilvl w:val="0"/>
          <w:numId w:val="1"/>
        </w:numPr>
      </w:pPr>
      <w:r>
        <w:t>Implement waste heat recovery and low-carbon logistics.</w:t>
      </w:r>
    </w:p>
    <w:bookmarkEnd w:id="11"/>
    <w:p w14:paraId="6F097E48">
      <w:pPr>
        <w:pStyle w:val="5"/>
      </w:pPr>
      <w:bookmarkStart w:id="12" w:name="lca-life-cycle-assessment-integration"/>
      <w:r>
        <w:t>LCA (Life Cycle Assessment) Integration</w:t>
      </w:r>
    </w:p>
    <w:p w14:paraId="55CA58BC">
      <w:pPr>
        <w:pStyle w:val="24"/>
        <w:numPr>
          <w:ilvl w:val="0"/>
          <w:numId w:val="1"/>
        </w:numPr>
      </w:pPr>
      <w:r>
        <w:t>Evaluate emissions across the full product lifecycle.</w:t>
      </w:r>
    </w:p>
    <w:p w14:paraId="4AA4A7DC">
      <w:pPr>
        <w:pStyle w:val="24"/>
        <w:numPr>
          <w:ilvl w:val="0"/>
          <w:numId w:val="1"/>
        </w:numPr>
      </w:pPr>
      <w:r>
        <w:t>Prioritize sustainable material sourcing and increase recycled content.</w:t>
      </w:r>
    </w:p>
    <w:p w14:paraId="3950A384">
      <w:pPr>
        <w:pStyle w:val="24"/>
        <w:numPr>
          <w:ilvl w:val="0"/>
          <w:numId w:val="1"/>
        </w:numPr>
      </w:pPr>
      <w:r>
        <w:t>Require supplier ESG audits and integrate LCA into procurement decisions.</w:t>
      </w:r>
    </w:p>
    <w:bookmarkEnd w:id="10"/>
    <w:bookmarkEnd w:id="12"/>
    <w:p w14:paraId="61767DDE">
      <w:pPr>
        <w:pStyle w:val="4"/>
      </w:pPr>
      <w:bookmarkStart w:id="13" w:name="future-scope"/>
      <w:r>
        <w:t>Future Scope</w:t>
      </w:r>
    </w:p>
    <w:p w14:paraId="18245CF0">
      <w:pPr>
        <w:pStyle w:val="23"/>
      </w:pPr>
      <w:r>
        <w:t>Future enhancements may include:</w:t>
      </w:r>
    </w:p>
    <w:p w14:paraId="3CEBCA6F">
      <w:pPr>
        <w:pStyle w:val="3"/>
      </w:pPr>
      <w:r>
        <w:t>AI-based emission forecasting models Real-time ESG monitoring dashboards Predictive sustainability analytics Carbon neutrality simulation models Automated anomaly detection systems</w:t>
      </w:r>
    </w:p>
    <w:p w14:paraId="18671C8D">
      <w:pPr>
        <w:pStyle w:val="3"/>
      </w:pPr>
      <w:r>
        <w:t>These approaches can strengthen data-driven ESG decision-making.</w:t>
      </w:r>
    </w:p>
    <w:bookmarkEnd w:id="13"/>
    <w:p w14:paraId="5B108422">
      <w:pPr>
        <w:pStyle w:val="4"/>
      </w:pPr>
      <w:bookmarkStart w:id="14" w:name="charts"/>
      <w:r>
        <w:t>Charts</w:t>
      </w:r>
    </w:p>
    <w:p w14:paraId="77340D05">
      <w:pPr>
        <w:pStyle w:val="3"/>
      </w:pPr>
      <w:r>
        <w:drawing>
          <wp:inline distT="0" distB="0" distL="114300" distR="114300">
            <wp:extent cx="5484495" cy="23425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CECE">
      <w:pPr>
        <w:pStyle w:val="3"/>
      </w:pPr>
      <w:r>
        <w:drawing>
          <wp:inline distT="0" distB="0" distL="114300" distR="114300">
            <wp:extent cx="5483225" cy="171196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1882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225" cy="17767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8145" cy="2308860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500495" cy="3037205"/>
            <wp:effectExtent l="0" t="0" r="19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049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E03C">
      <w:pPr>
        <w:pStyle w:val="3"/>
      </w:pPr>
    </w:p>
    <w:p w14:paraId="26854CB5">
      <w:pPr>
        <w:pStyle w:val="3"/>
      </w:pPr>
    </w:p>
    <w:bookmarkEnd w:id="14"/>
    <w:p w14:paraId="5D29D32B">
      <w:pPr>
        <w:pStyle w:val="4"/>
      </w:pPr>
      <w:bookmarkStart w:id="15" w:name="conclusion"/>
      <w:bookmarkStart w:id="16" w:name="_GoBack"/>
      <w:bookmarkEnd w:id="16"/>
      <w:r>
        <w:t>Conclusion</w:t>
      </w:r>
    </w:p>
    <w:p w14:paraId="27BD1100">
      <w:pPr>
        <w:pStyle w:val="23"/>
      </w:pPr>
      <w:r>
        <w:t>The analysis highlights both progress and persistent challenges in emissions management. While some reduction is evident, high emissions from key facilities and operational variability must be addressed. A robust Net Zero strategy, combined with LCA integration, will be essential for long-term sustainability and regulatory compliance.</w:t>
      </w:r>
    </w:p>
    <w:bookmarkEnd w:id="0"/>
    <w:bookmarkEnd w:id="1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FB26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620</Words>
  <Characters>4317</Characters>
  <Lines>12</Lines>
  <Paragraphs>8</Paragraphs>
  <TotalTime>7</TotalTime>
  <ScaleCrop>false</ScaleCrop>
  <LinksUpToDate>false</LinksUpToDate>
  <CharactersWithSpaces>4889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2026-05-06T16:37:00Z</dcterms:created>
  <dc:creator>Bishakha Mondal</dc:creator>
  <cp:lastModifiedBy>Bishakha Mondal</cp:lastModifiedBy>
  <dcterms:modified xsi:type="dcterms:W3CDTF">2026-05-06T16:39:38Z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eyJoZGlkIjoiYzVhNDcwNWIzOGJiMzczNzExMDVhODhmNDM1ZjdkNmEiLCJ1c2VySWQiOiI1Njc0Mzg1ODIzODQifQ==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0B707DF7FA7A480F8D5B629C51AE2AE6_12</vt:lpwstr>
  </property>
</Properties>
</file>