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Data Science with Python — Project Report</w:t>
      </w:r>
    </w:p>
    <w:p>
      <w:r>
        <w:rPr>
          <w:i/>
          <w:iCs/>
          <w:sz w:val="24"/>
          <w:szCs w:val="24"/>
        </w:rPr>
        <w:t xml:space="preserve">Town &amp; County Housing Recommendation System</w:t>
      </w:r>
    </w:p>
    <w:p/>
    <w:p>
      <w:pPr>
        <w:pStyle w:val="Heading1"/>
      </w:pPr>
      <w:r>
        <w:t xml:space="preserve">1. County and Town Selection</w:t>
      </w:r>
    </w:p>
    <w:p>
      <w:pPr>
        <w:pStyle w:val="Heading2"/>
      </w:pPr>
      <w:r>
        <w:t xml:space="preserve">1.1 Selected Counties</w:t>
      </w:r>
    </w:p>
    <w:p>
      <w:r>
        <w:t xml:space="preserve">Kent (England) and Monmouthshire (Wales) were selected for this project. This pairing was chosen for three reasons. First, both counties have strong open-data coverage for the required variables (house prices, broadband speed, and crime), which is essential given the project's reliance on publicly available datasets. Second, pairing one English and one Welsh county allows for a meaningful cross-border comparison in the analysis and recommendation stages. Third, the two counties offer contrasting settlement patterns — Kent is densely populated with a large number of substantial towns, while Monmouthshire is predominantly rural with a small number of market towns — which provides a more interesting test of the recommendation system across different scales of settlement.</w:t>
      </w:r>
    </w:p>
    <w:p/>
    <w:p>
      <w:pPr>
        <w:pStyle w:val="Heading2"/>
      </w:pPr>
      <w:r>
        <w:t xml:space="preserve">1.2 Town Selection Method</w:t>
      </w:r>
    </w:p>
    <w:p>
      <w:r>
        <w:t xml:space="preserve">Towns were shortlisted using a population threshold, in line with the project brief's suggested approach. A settlement was included if its usual resident population, as recorded in the UK 2021 Census (Office for National Statistics), exceeded a defined threshold. This method was chosen because it is objective, reproducible, and grounded in an authoritative national data source rather than subjective judgement of what constitutes a 'main town'.</w:t>
      </w:r>
    </w:p>
    <w:p/>
    <w:p>
      <w:r>
        <w:t xml:space="preserve">A threshold of 10,000 residents was applied initially, as suggested in the project brief. This produced 15 qualifying towns in Kent, which was capped at 15 to keep the dataset manageable. However, applying the same threshold to Monmouthshire yielded only two qualifying towns (Abergavenny and Chepstow), which was judged too small a sample to support meaningful exploratory data analysis, statistical comparison, or a useful recommendation system for that county.</w:t>
      </w:r>
    </w:p>
    <w:p/>
    <w:p>
      <w:r>
        <w:t xml:space="preserve">To address this, the threshold for Monmouthshire only was reduced to 5,000 residents, bringing the shortlist to approximately five towns. This inconsistency between counties is acknowledged explicitly here as a limitation of applying a single fixed population threshold across two counties with very different settlement patterns and population densities. An alternative approach — for example, selecting the top N towns by population per county regardless of an absolute threshold — was considered but rejected, as it would have included very small villages in Monmouthshire that are not meaningfully comparable to Kent's large towns.</w:t>
      </w:r>
    </w:p>
    <w:p/>
    <w:p>
      <w:pPr>
        <w:pStyle w:val="Heading2"/>
      </w:pPr>
      <w:r>
        <w:t xml:space="preserve">1.3 Final Shortlist: Kent (population &gt; 10,000)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00"/>
      </w:tblGrid>
      <w:tr>
        <w:tc>
          <w:tcPr>
            <w:tcW w:type="dxa" w:w="900"/>
            <w:shd w:fill="1F4E5F" w:val="clear"/>
          </w:tcPr>
          <w:p>
            <w:r>
              <w:rPr>
                <w:b/>
                <w:bCs/>
                <w:color w:val="FFFFFF"/>
              </w:rPr>
              <w:t xml:space="preserve">#</w:t>
            </w:r>
          </w:p>
        </w:tc>
        <w:tc>
          <w:tcPr>
            <w:tcW w:type="dxa" w:w="3600"/>
            <w:shd w:fill="1F4E5F" w:val="clear"/>
          </w:tcPr>
          <w:p>
            <w:r>
              <w:rPr>
                <w:b/>
                <w:bCs/>
                <w:color w:val="FFFFFF"/>
              </w:rPr>
              <w:t xml:space="preserve">Town</w:t>
            </w:r>
          </w:p>
        </w:tc>
        <w:tc>
          <w:tcPr>
            <w:tcW w:type="dxa" w:w="4500"/>
            <w:shd w:fill="1F4E5F" w:val="clear"/>
          </w:tcPr>
          <w:p>
            <w:r>
              <w:rPr>
                <w:b/>
                <w:bCs/>
                <w:color w:val="FFFFFF"/>
              </w:rPr>
              <w:t xml:space="preserve">Population</w:t>
            </w:r>
          </w:p>
        </w:tc>
      </w:tr>
      <w:tr>
        <w:tc>
          <w:tcPr>
            <w:tcW w:type="dxa" w:w="900"/>
          </w:tcPr>
          <w:p>
            <w:r>
              <w:t xml:space="preserve">1</w:t>
            </w:r>
          </w:p>
        </w:tc>
        <w:tc>
          <w:tcPr>
            <w:tcW w:type="dxa" w:w="3600"/>
          </w:tcPr>
          <w:p>
            <w:r>
              <w:t xml:space="preserve">Maidstone</w:t>
            </w:r>
          </w:p>
        </w:tc>
        <w:tc>
          <w:tcPr>
            <w:tcW w:type="dxa" w:w="4500"/>
          </w:tcPr>
          <w:p>
            <w:r>
              <w:t xml:space="preserve">113,137</w:t>
            </w:r>
          </w:p>
        </w:tc>
      </w:tr>
      <w:tr>
        <w:tc>
          <w:tcPr>
            <w:tcW w:type="dxa" w:w="900"/>
          </w:tcPr>
          <w:p>
            <w:r>
              <w:t xml:space="preserve">2</w:t>
            </w:r>
          </w:p>
        </w:tc>
        <w:tc>
          <w:tcPr>
            <w:tcW w:type="dxa" w:w="3600"/>
          </w:tcPr>
          <w:p>
            <w:r>
              <w:t xml:space="preserve">Gillingham</w:t>
            </w:r>
          </w:p>
        </w:tc>
        <w:tc>
          <w:tcPr>
            <w:tcW w:type="dxa" w:w="4500"/>
          </w:tcPr>
          <w:p>
            <w:r>
              <w:t xml:space="preserve">104,157</w:t>
            </w:r>
          </w:p>
        </w:tc>
      </w:tr>
      <w:tr>
        <w:tc>
          <w:tcPr>
            <w:tcW w:type="dxa" w:w="900"/>
          </w:tcPr>
          <w:p>
            <w:r>
              <w:t xml:space="preserve">3</w:t>
            </w:r>
          </w:p>
        </w:tc>
        <w:tc>
          <w:tcPr>
            <w:tcW w:type="dxa" w:w="3600"/>
          </w:tcPr>
          <w:p>
            <w:r>
              <w:t xml:space="preserve">Dartford</w:t>
            </w:r>
          </w:p>
        </w:tc>
        <w:tc>
          <w:tcPr>
            <w:tcW w:type="dxa" w:w="4500"/>
          </w:tcPr>
          <w:p>
            <w:r>
              <w:t xml:space="preserve">87,415</w:t>
            </w:r>
          </w:p>
        </w:tc>
      </w:tr>
      <w:tr>
        <w:tc>
          <w:tcPr>
            <w:tcW w:type="dxa" w:w="900"/>
          </w:tcPr>
          <w:p>
            <w:r>
              <w:t xml:space="preserve">4</w:t>
            </w:r>
          </w:p>
        </w:tc>
        <w:tc>
          <w:tcPr>
            <w:tcW w:type="dxa" w:w="3600"/>
          </w:tcPr>
          <w:p>
            <w:r>
              <w:t xml:space="preserve">Chatham</w:t>
            </w:r>
          </w:p>
        </w:tc>
        <w:tc>
          <w:tcPr>
            <w:tcW w:type="dxa" w:w="4500"/>
          </w:tcPr>
          <w:p>
            <w:r>
              <w:t xml:space="preserve">76,792</w:t>
            </w:r>
          </w:p>
        </w:tc>
      </w:tr>
      <w:tr>
        <w:tc>
          <w:tcPr>
            <w:tcW w:type="dxa" w:w="900"/>
          </w:tcPr>
          <w:p>
            <w:r>
              <w:t xml:space="preserve">5</w:t>
            </w:r>
          </w:p>
        </w:tc>
        <w:tc>
          <w:tcPr>
            <w:tcW w:type="dxa" w:w="3600"/>
          </w:tcPr>
          <w:p>
            <w:r>
              <w:t xml:space="preserve">Ashford</w:t>
            </w:r>
          </w:p>
        </w:tc>
        <w:tc>
          <w:tcPr>
            <w:tcW w:type="dxa" w:w="4500"/>
          </w:tcPr>
          <w:p>
            <w:r>
              <w:t xml:space="preserve">74,204</w:t>
            </w:r>
          </w:p>
        </w:tc>
      </w:tr>
      <w:tr>
        <w:tc>
          <w:tcPr>
            <w:tcW w:type="dxa" w:w="900"/>
          </w:tcPr>
          <w:p>
            <w:r>
              <w:t xml:space="preserve">6</w:t>
            </w:r>
          </w:p>
        </w:tc>
        <w:tc>
          <w:tcPr>
            <w:tcW w:type="dxa" w:w="3600"/>
          </w:tcPr>
          <w:p>
            <w:r>
              <w:t xml:space="preserve">Rochester</w:t>
            </w:r>
          </w:p>
        </w:tc>
        <w:tc>
          <w:tcPr>
            <w:tcW w:type="dxa" w:w="4500"/>
          </w:tcPr>
          <w:p>
            <w:r>
              <w:t xml:space="preserve">62,982</w:t>
            </w:r>
          </w:p>
        </w:tc>
      </w:tr>
      <w:tr>
        <w:tc>
          <w:tcPr>
            <w:tcW w:type="dxa" w:w="900"/>
          </w:tcPr>
          <w:p>
            <w:r>
              <w:t xml:space="preserve">7</w:t>
            </w:r>
          </w:p>
        </w:tc>
        <w:tc>
          <w:tcPr>
            <w:tcW w:type="dxa" w:w="3600"/>
          </w:tcPr>
          <w:p>
            <w:r>
              <w:t xml:space="preserve">Margate</w:t>
            </w:r>
          </w:p>
        </w:tc>
        <w:tc>
          <w:tcPr>
            <w:tcW w:type="dxa" w:w="4500"/>
          </w:tcPr>
          <w:p>
            <w:r>
              <w:t xml:space="preserve">61,223</w:t>
            </w:r>
          </w:p>
        </w:tc>
      </w:tr>
      <w:tr>
        <w:tc>
          <w:tcPr>
            <w:tcW w:type="dxa" w:w="900"/>
          </w:tcPr>
          <w:p>
            <w:r>
              <w:t xml:space="preserve">8</w:t>
            </w:r>
          </w:p>
        </w:tc>
        <w:tc>
          <w:tcPr>
            <w:tcW w:type="dxa" w:w="3600"/>
          </w:tcPr>
          <w:p>
            <w:r>
              <w:t xml:space="preserve">Royal Tunbridge Wells</w:t>
            </w:r>
          </w:p>
        </w:tc>
        <w:tc>
          <w:tcPr>
            <w:tcW w:type="dxa" w:w="4500"/>
          </w:tcPr>
          <w:p>
            <w:r>
              <w:t xml:space="preserve">57,772</w:t>
            </w:r>
          </w:p>
        </w:tc>
      </w:tr>
      <w:tr>
        <w:tc>
          <w:tcPr>
            <w:tcW w:type="dxa" w:w="900"/>
          </w:tcPr>
          <w:p>
            <w:r>
              <w:t xml:space="preserve">9</w:t>
            </w:r>
          </w:p>
        </w:tc>
        <w:tc>
          <w:tcPr>
            <w:tcW w:type="dxa" w:w="3600"/>
          </w:tcPr>
          <w:p>
            <w:r>
              <w:t xml:space="preserve">Gravesend</w:t>
            </w:r>
          </w:p>
        </w:tc>
        <w:tc>
          <w:tcPr>
            <w:tcW w:type="dxa" w:w="4500"/>
          </w:tcPr>
          <w:p>
            <w:r>
              <w:t xml:space="preserve">55,467</w:t>
            </w:r>
          </w:p>
        </w:tc>
      </w:tr>
      <w:tr>
        <w:tc>
          <w:tcPr>
            <w:tcW w:type="dxa" w:w="900"/>
          </w:tcPr>
          <w:p>
            <w:r>
              <w:t xml:space="preserve">10</w:t>
            </w:r>
          </w:p>
        </w:tc>
        <w:tc>
          <w:tcPr>
            <w:tcW w:type="dxa" w:w="3600"/>
          </w:tcPr>
          <w:p>
            <w:r>
              <w:t xml:space="preserve">Canterbury</w:t>
            </w:r>
          </w:p>
        </w:tc>
        <w:tc>
          <w:tcPr>
            <w:tcW w:type="dxa" w:w="4500"/>
          </w:tcPr>
          <w:p>
            <w:r>
              <w:t xml:space="preserve">50,402</w:t>
            </w:r>
          </w:p>
        </w:tc>
      </w:tr>
      <w:tr>
        <w:tc>
          <w:tcPr>
            <w:tcW w:type="dxa" w:w="900"/>
          </w:tcPr>
          <w:p>
            <w:r>
              <w:t xml:space="preserve">11</w:t>
            </w:r>
          </w:p>
        </w:tc>
        <w:tc>
          <w:tcPr>
            <w:tcW w:type="dxa" w:w="3600"/>
          </w:tcPr>
          <w:p>
            <w:r>
              <w:t xml:space="preserve">Folkestone</w:t>
            </w:r>
          </w:p>
        </w:tc>
        <w:tc>
          <w:tcPr>
            <w:tcW w:type="dxa" w:w="4500"/>
          </w:tcPr>
          <w:p>
            <w:r>
              <w:t xml:space="preserve">51,337</w:t>
            </w:r>
          </w:p>
        </w:tc>
      </w:tr>
      <w:tr>
        <w:tc>
          <w:tcPr>
            <w:tcW w:type="dxa" w:w="900"/>
          </w:tcPr>
          <w:p>
            <w:r>
              <w:t xml:space="preserve">12</w:t>
            </w:r>
          </w:p>
        </w:tc>
        <w:tc>
          <w:tcPr>
            <w:tcW w:type="dxa" w:w="3600"/>
          </w:tcPr>
          <w:p>
            <w:r>
              <w:t xml:space="preserve">Sittingbourne</w:t>
            </w:r>
          </w:p>
        </w:tc>
        <w:tc>
          <w:tcPr>
            <w:tcW w:type="dxa" w:w="4500"/>
          </w:tcPr>
          <w:p>
            <w:r>
              <w:t xml:space="preserve">48,948</w:t>
            </w:r>
          </w:p>
        </w:tc>
      </w:tr>
      <w:tr>
        <w:tc>
          <w:tcPr>
            <w:tcW w:type="dxa" w:w="900"/>
          </w:tcPr>
          <w:p>
            <w:r>
              <w:t xml:space="preserve">13</w:t>
            </w:r>
          </w:p>
        </w:tc>
        <w:tc>
          <w:tcPr>
            <w:tcW w:type="dxa" w:w="3600"/>
          </w:tcPr>
          <w:p>
            <w:r>
              <w:t xml:space="preserve">Dover</w:t>
            </w:r>
          </w:p>
        </w:tc>
        <w:tc>
          <w:tcPr>
            <w:tcW w:type="dxa" w:w="4500"/>
          </w:tcPr>
          <w:p>
            <w:r>
              <w:t xml:space="preserve">43,070</w:t>
            </w:r>
          </w:p>
        </w:tc>
      </w:tr>
      <w:tr>
        <w:tc>
          <w:tcPr>
            <w:tcW w:type="dxa" w:w="900"/>
          </w:tcPr>
          <w:p>
            <w:r>
              <w:t xml:space="preserve">14</w:t>
            </w:r>
          </w:p>
        </w:tc>
        <w:tc>
          <w:tcPr>
            <w:tcW w:type="dxa" w:w="3600"/>
          </w:tcPr>
          <w:p>
            <w:r>
              <w:t xml:space="preserve">Ramsgate</w:t>
            </w:r>
          </w:p>
        </w:tc>
        <w:tc>
          <w:tcPr>
            <w:tcW w:type="dxa" w:w="4500"/>
          </w:tcPr>
          <w:p>
            <w:r>
              <w:t xml:space="preserve">40,515</w:t>
            </w:r>
          </w:p>
        </w:tc>
      </w:tr>
      <w:tr>
        <w:tc>
          <w:tcPr>
            <w:tcW w:type="dxa" w:w="900"/>
          </w:tcPr>
          <w:p>
            <w:r>
              <w:t xml:space="preserve">15</w:t>
            </w:r>
          </w:p>
        </w:tc>
        <w:tc>
          <w:tcPr>
            <w:tcW w:type="dxa" w:w="3600"/>
          </w:tcPr>
          <w:p>
            <w:r>
              <w:t xml:space="preserve">Tonbridge</w:t>
            </w:r>
          </w:p>
        </w:tc>
        <w:tc>
          <w:tcPr>
            <w:tcW w:type="dxa" w:w="4500"/>
          </w:tcPr>
          <w:p>
            <w:r>
              <w:t xml:space="preserve">38,657</w:t>
            </w:r>
          </w:p>
        </w:tc>
      </w:tr>
    </w:tbl>
    <w:p/>
    <w:p>
      <w:r>
        <w:rPr>
          <w:i/>
          <w:iCs/>
          <w:sz w:val="20"/>
          <w:szCs w:val="20"/>
        </w:rPr>
        <w:t xml:space="preserve">Source: 2011/2021 UK Census settlement population figures. To be re-verified against the 2021 ONS built-up area dataset during the data collection stage.</w:t>
      </w:r>
    </w:p>
    <w:p/>
    <w:p>
      <w:pPr>
        <w:pStyle w:val="Heading2"/>
      </w:pPr>
      <w:r>
        <w:t xml:space="preserve">1.4 Final Shortlist: Monmouthshire (population &gt; 5,000, adjusted threshold)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00"/>
      </w:tblGrid>
      <w:tr>
        <w:tc>
          <w:tcPr>
            <w:tcW w:type="dxa" w:w="900"/>
            <w:shd w:fill="1F4E5F" w:val="clear"/>
          </w:tcPr>
          <w:p>
            <w:r>
              <w:rPr>
                <w:b/>
                <w:bCs/>
                <w:color w:val="FFFFFF"/>
              </w:rPr>
              <w:t xml:space="preserve">#</w:t>
            </w:r>
          </w:p>
        </w:tc>
        <w:tc>
          <w:tcPr>
            <w:tcW w:type="dxa" w:w="3600"/>
            <w:shd w:fill="1F4E5F" w:val="clear"/>
          </w:tcPr>
          <w:p>
            <w:r>
              <w:rPr>
                <w:b/>
                <w:bCs/>
                <w:color w:val="FFFFFF"/>
              </w:rPr>
              <w:t xml:space="preserve">Town</w:t>
            </w:r>
          </w:p>
        </w:tc>
        <w:tc>
          <w:tcPr>
            <w:tcW w:type="dxa" w:w="4500"/>
            <w:shd w:fill="1F4E5F" w:val="clear"/>
          </w:tcPr>
          <w:p>
            <w:r>
              <w:rPr>
                <w:b/>
                <w:bCs/>
                <w:color w:val="FFFFFF"/>
              </w:rPr>
              <w:t xml:space="preserve">Population</w:t>
            </w:r>
          </w:p>
        </w:tc>
      </w:tr>
      <w:tr>
        <w:tc>
          <w:tcPr>
            <w:tcW w:type="dxa" w:w="900"/>
          </w:tcPr>
          <w:p>
            <w:r>
              <w:t xml:space="preserve">1</w:t>
            </w:r>
          </w:p>
        </w:tc>
        <w:tc>
          <w:tcPr>
            <w:tcW w:type="dxa" w:w="3600"/>
          </w:tcPr>
          <w:p>
            <w:r>
              <w:t xml:space="preserve">Abergavenny</w:t>
            </w:r>
          </w:p>
        </w:tc>
        <w:tc>
          <w:tcPr>
            <w:tcW w:type="dxa" w:w="4500"/>
          </w:tcPr>
          <w:p>
            <w:r>
              <w:t xml:space="preserve">13,691</w:t>
            </w:r>
          </w:p>
        </w:tc>
      </w:tr>
      <w:tr>
        <w:tc>
          <w:tcPr>
            <w:tcW w:type="dxa" w:w="900"/>
          </w:tcPr>
          <w:p>
            <w:r>
              <w:t xml:space="preserve">2</w:t>
            </w:r>
          </w:p>
        </w:tc>
        <w:tc>
          <w:tcPr>
            <w:tcW w:type="dxa" w:w="3600"/>
          </w:tcPr>
          <w:p>
            <w:r>
              <w:t xml:space="preserve">Chepstow</w:t>
            </w:r>
          </w:p>
        </w:tc>
        <w:tc>
          <w:tcPr>
            <w:tcW w:type="dxa" w:w="4500"/>
          </w:tcPr>
          <w:p>
            <w:r>
              <w:t xml:space="preserve">11,934</w:t>
            </w:r>
          </w:p>
        </w:tc>
      </w:tr>
      <w:tr>
        <w:tc>
          <w:tcPr>
            <w:tcW w:type="dxa" w:w="900"/>
          </w:tcPr>
          <w:p>
            <w:r>
              <w:t xml:space="preserve">3</w:t>
            </w:r>
          </w:p>
        </w:tc>
        <w:tc>
          <w:tcPr>
            <w:tcW w:type="dxa" w:w="3600"/>
          </w:tcPr>
          <w:p>
            <w:r>
              <w:t xml:space="preserve">Caldicot</w:t>
            </w:r>
          </w:p>
        </w:tc>
        <w:tc>
          <w:tcPr>
            <w:tcW w:type="dxa" w:w="4500"/>
          </w:tcPr>
          <w:p>
            <w:r>
              <w:t xml:space="preserve">9,813</w:t>
            </w:r>
          </w:p>
        </w:tc>
      </w:tr>
      <w:tr>
        <w:tc>
          <w:tcPr>
            <w:tcW w:type="dxa" w:w="900"/>
          </w:tcPr>
          <w:p>
            <w:r>
              <w:t xml:space="preserve">4</w:t>
            </w:r>
          </w:p>
        </w:tc>
        <w:tc>
          <w:tcPr>
            <w:tcW w:type="dxa" w:w="3600"/>
          </w:tcPr>
          <w:p>
            <w:r>
              <w:t xml:space="preserve">Monmouth</w:t>
            </w:r>
          </w:p>
        </w:tc>
        <w:tc>
          <w:tcPr>
            <w:tcW w:type="dxa" w:w="4500"/>
          </w:tcPr>
          <w:p>
            <w:r>
              <w:t xml:space="preserve">~10,500 (to confirm)</w:t>
            </w:r>
          </w:p>
        </w:tc>
      </w:tr>
      <w:tr>
        <w:tc>
          <w:tcPr>
            <w:tcW w:type="dxa" w:w="900"/>
          </w:tcPr>
          <w:p>
            <w:r>
              <w:t xml:space="preserve">5</w:t>
            </w:r>
          </w:p>
        </w:tc>
        <w:tc>
          <w:tcPr>
            <w:tcW w:type="dxa" w:w="3600"/>
          </w:tcPr>
          <w:p>
            <w:r>
              <w:t xml:space="preserve">Usk</w:t>
            </w:r>
          </w:p>
        </w:tc>
        <w:tc>
          <w:tcPr>
            <w:tcW w:type="dxa" w:w="4500"/>
          </w:tcPr>
          <w:p>
            <w:r>
              <w:t xml:space="preserve">~3,000 (to confirm; may be excluded)</w:t>
            </w:r>
          </w:p>
        </w:tc>
      </w:tr>
    </w:tbl>
    <w:p/>
    <w:p>
      <w:r>
        <w:rPr>
          <w:i/>
          <w:iCs/>
          <w:sz w:val="20"/>
          <w:szCs w:val="20"/>
        </w:rPr>
        <w:t xml:space="preserve">Source: 2021 UK Census. Figures marked 'to confirm' require verification against the ONS 2021 built-up area dataset in the data collection stage.</w:t>
      </w:r>
    </w:p>
    <w:p/>
    <w:p>
      <w:pPr>
        <w:pStyle w:val="Heading2"/>
      </w:pPr>
      <w:r>
        <w:t xml:space="preserve">1.5 Summary</w:t>
      </w:r>
    </w:p>
    <w:p>
      <w:r>
        <w:t xml:space="preserve">In total, 15 towns from Kent and approximately 5 towns from Monmouthshire (20 settlements overall) form the basis for data collection, cleaning, exploratory analysis, and the recommendation system developed in the following sections of this report.</w:t>
      </w:r>
    </w:p>
    <w:p/>
    <w:p>
      <w:pPr>
        <w:pStyle w:val="Heading1"/>
      </w:pPr>
      <w:r>
        <w:t xml:space="preserve">2. Data Sources</w:t>
      </w:r>
    </w:p>
    <w:p>
      <w:pPr>
        <w:pStyle w:val="Heading2"/>
      </w:pPr>
      <w:r>
        <w:t xml:space="preserve">2.1 Overview</w:t>
      </w:r>
    </w:p>
    <w:p>
      <w:r>
        <w:t xml:space="preserve">Three datasets were required by the project brief: house prices, broadband speed, and crime rate. A fourth factor, air quality, was added as an independently chosen variable (see Section 3). Each dataset was sourced from an authoritative, openly licensed origin, in line with the project's requirement to justify data provenance and legality. Where a dataset was accessed via a Kaggle mirror rather than directly from the originating body, both the original source and the access point are recorded for transparency. All datasets used in this project are released under the Open Government Licence v3.0, which permits reuse for both commercial and non-commercial purposes provided the source is acknowledged.</w:t>
      </w:r>
    </w:p>
    <w:p/>
    <w:p>
      <w:pPr>
        <w:pStyle w:val="Heading2"/>
      </w:pPr>
      <w:r>
        <w:t xml:space="preserve">2.2 Dataset Summary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600"/>
        <w:gridCol w:w="2900"/>
      </w:tblGrid>
      <w:tr>
        <w:tc>
          <w:tcPr>
            <w:tcW w:type="dxa" w:w="1600"/>
            <w:shd w:fill="1F4E5F" w:val="clear"/>
          </w:tcPr>
          <w:p>
            <w:r>
              <w:rPr>
                <w:b/>
                <w:bCs/>
                <w:color w:val="FFFFFF"/>
              </w:rPr>
              <w:t xml:space="preserve">Dataset</w:t>
            </w:r>
          </w:p>
        </w:tc>
        <w:tc>
          <w:tcPr>
            <w:tcW w:type="dxa" w:w="3400"/>
            <w:shd w:fill="1F4E5F" w:val="clear"/>
          </w:tcPr>
          <w:p>
            <w:r>
              <w:rPr>
                <w:b/>
                <w:bCs/>
                <w:color w:val="FFFFFF"/>
              </w:rPr>
              <w:t xml:space="preserve">Source &amp; URL</w:t>
            </w:r>
          </w:p>
        </w:tc>
        <w:tc>
          <w:tcPr>
            <w:tcW w:type="dxa" w:w="1600"/>
            <w:shd w:fill="1F4E5F" w:val="clear"/>
          </w:tcPr>
          <w:p>
            <w:r>
              <w:rPr>
                <w:b/>
                <w:bCs/>
                <w:color w:val="FFFFFF"/>
              </w:rPr>
              <w:t xml:space="preserve">Licence</w:t>
            </w:r>
          </w:p>
        </w:tc>
        <w:tc>
          <w:tcPr>
            <w:tcW w:type="dxa" w:w="2900"/>
            <w:shd w:fill="1F4E5F" w:val="clear"/>
          </w:tcPr>
          <w:p>
            <w:r>
              <w:rPr>
                <w:b/>
                <w:bCs/>
                <w:color w:val="FFFFFF"/>
              </w:rPr>
              <w:t xml:space="preserve">Notes / Limitations</w:t>
            </w:r>
          </w:p>
        </w:tc>
      </w:tr>
      <w:tr>
        <w:tc>
          <w:tcPr>
            <w:tcW w:type="dxa" w:w="1600"/>
          </w:tcPr>
          <w:p>
            <w:r>
              <w:t xml:space="preserve">House prices</w:t>
            </w:r>
          </w:p>
        </w:tc>
        <w:tc>
          <w:tcPr>
            <w:tcW w:type="dxa" w:w="3400"/>
          </w:tcPr>
          <w:p>
            <w:r>
              <w:t xml:space="preserve">HM Land Registry — Price Paid Data, yearly files (2021-2024). gov.uk/government/statistical-data-sets/price-paid-data-yearly-file</w:t>
            </w:r>
          </w:p>
        </w:tc>
        <w:tc>
          <w:tcPr>
            <w:tcW w:type="dxa" w:w="1600"/>
          </w:tcPr>
          <w:p>
            <w:r>
              <w:t xml:space="preserve">Open Government Licence v3.0</w:t>
            </w:r>
          </w:p>
        </w:tc>
        <w:tc>
          <w:tcPr>
            <w:tcW w:type="dxa" w:w="2900"/>
          </w:tcPr>
          <w:p>
            <w:r>
              <w:t xml:space="preserve">Yearly files for 2021-2024 downloaded directly (not the full 1995-present file), matching the date range of the other datasets. Switched from the Kaggle mirror after the single 770MB file caused file-access errors; see Section 2.3 for full reasoning. Will be filtered to Kent and Monmouthshire towns during data wrangling.</w:t>
            </w:r>
          </w:p>
        </w:tc>
      </w:tr>
      <w:tr>
        <w:tc>
          <w:tcPr>
            <w:tcW w:type="dxa" w:w="1600"/>
          </w:tcPr>
          <w:p>
            <w:r>
              <w:t xml:space="preserve">Broadband speed</w:t>
            </w:r>
          </w:p>
        </w:tc>
        <w:tc>
          <w:tcPr>
            <w:tcW w:type="dxa" w:w="3400"/>
          </w:tcPr>
          <w:p>
            <w:r>
              <w:t xml:space="preserve">Ofcom — Connected Nations 2022, Fixed Performance Local &amp; Unitary Authority data. ofcom.org.uk/phones-and-broadband/coverage-and-speeds/data</w:t>
            </w:r>
          </w:p>
        </w:tc>
        <w:tc>
          <w:tcPr>
            <w:tcW w:type="dxa" w:w="1600"/>
          </w:tcPr>
          <w:p>
            <w:r>
              <w:t xml:space="preserve">Open Government Licence (Ofcom open data terms)</w:t>
            </w:r>
          </w:p>
        </w:tc>
        <w:tc>
          <w:tcPr>
            <w:tcW w:type="dxa" w:w="2900"/>
          </w:tcPr>
          <w:p>
            <w:r>
              <w:t xml:space="preserve">Snapshot from May 2022. Granularity is local/unitary authority, not individual town; Monmouthshire towns share one figure.</w:t>
            </w:r>
          </w:p>
        </w:tc>
      </w:tr>
      <w:tr>
        <w:tc>
          <w:tcPr>
            <w:tcW w:type="dxa" w:w="1600"/>
          </w:tcPr>
          <w:p>
            <w:r>
              <w:t xml:space="preserve">Crime</w:t>
            </w:r>
          </w:p>
        </w:tc>
        <w:tc>
          <w:tcPr>
            <w:tcW w:type="dxa" w:w="3400"/>
          </w:tcPr>
          <w:p>
            <w:r>
              <w:t xml:space="preserve">Police.uk street-level crime data, mirrored via Kaggle: kaggle.com/datasets/mexwell/uk-police-data (original source: data.police.uk)</w:t>
            </w:r>
          </w:p>
        </w:tc>
        <w:tc>
          <w:tcPr>
            <w:tcW w:type="dxa" w:w="1600"/>
          </w:tcPr>
          <w:p>
            <w:r>
              <w:t xml:space="preserve">Open Government Licence v3.0</w:t>
            </w:r>
          </w:p>
        </w:tc>
        <w:tc>
          <w:tcPr>
            <w:tcW w:type="dxa" w:w="2900"/>
          </w:tcPr>
          <w:p>
            <w:r>
              <w:t xml:space="preserve">Will be filtered to Kent Police and Gwent Police by LSOA. Counts will be normalised per head of population.</w:t>
            </w:r>
          </w:p>
        </w:tc>
      </w:tr>
      <w:tr>
        <w:tc>
          <w:tcPr>
            <w:tcW w:type="dxa" w:w="1600"/>
          </w:tcPr>
          <w:p>
            <w:r>
              <w:t xml:space="preserve">Air quality (PM2.5)</w:t>
            </w:r>
          </w:p>
        </w:tc>
        <w:tc>
          <w:tcPr>
            <w:tcW w:type="dxa" w:w="3400"/>
          </w:tcPr>
          <w:p>
            <w:r>
              <w:t xml:space="preserve">Defra / UK-AIR — Population-weighted annual mean PM2.5 by Local Authority, 2023. uk-air.defra.gov.uk/data/pcm-data</w:t>
            </w:r>
          </w:p>
        </w:tc>
        <w:tc>
          <w:tcPr>
            <w:tcW w:type="dxa" w:w="1600"/>
          </w:tcPr>
          <w:p>
            <w:r>
              <w:t xml:space="preserve">Open Government Licence v3.0 (Crown copyright)</w:t>
            </w:r>
          </w:p>
        </w:tc>
        <w:tc>
          <w:tcPr>
            <w:tcW w:type="dxa" w:w="2900"/>
          </w:tcPr>
          <w:p>
            <w:r>
              <w:t xml:space="preserve">Modelled (not directly measured) estimate, aggregated to local authority level. Same town/local-authority granularity mismatch as broadband data for Monmouthshire.</w:t>
            </w:r>
          </w:p>
        </w:tc>
      </w:tr>
    </w:tbl>
    <w:p/>
    <w:p>
      <w:pPr>
        <w:pStyle w:val="Heading2"/>
      </w:pPr>
      <w:r>
        <w:t xml:space="preserve">2.3 House Price Data</w:t>
      </w:r>
    </w:p>
    <w:p>
      <w:r>
        <w:t xml:space="preserve">The Price Paid Data published by HM Land Registry records every residential property transaction in England and Wales sold at full market value since January 1995. It includes the sale price, date of transfer, property type, tenure (freehold/leasehold), and the town/city, district, and county of each transaction. The dataset was initially sourced via its Kaggle mirror (kaggle.com/datasets/hm-land-registry/uk-housing-prices-paid), a single file of roughly 770MB covering all of England and Wales from 1995 to the present. In practice this file proved impractical to work with: its size caused file-access errors when read directly from disk, and loading it in full was unnecessary given that the project only requires data comparable in date range to the broadband, crime, and air quality datasets (2021 onward).</w:t>
      </w:r>
    </w:p>
    <w:p/>
    <w:p>
      <w:r>
        <w:t xml:space="preserve">The dataset was therefore switched to HM Land Registry's own yearly Price Paid Data files, published directly at gov.uk/government/statistical-data-sets/price-paid-data-yearly-file. These files split the same underlying records by calendar year, each ranging from roughly 70MB to 230MB, and are the primary source rather than a third-party mirror. Four yearly files were downloaded, covering 2021 to 2024 inclusive, matching the date range available in the project's other three datasets. This switch offered three advantages over the original Kaggle mirror: smaller, more manageable file sizes; a primary rather than secondary source, strengthening the project's data provenance; and a built-in date filter, since only the years actually needed were downloaded rather than filtering 1995-2024 down to a recent window after the fact. The same column schema, licence (Open Government Licence v3.0), and attribution requirements apply to the yearly files as to the original mirror, so no other part of the data sources documentation changes as a result of this switch.</w:t>
      </w:r>
    </w:p>
    <w:p/>
    <w:p>
      <w:pPr>
        <w:pStyle w:val="Heading2"/>
      </w:pPr>
      <w:r>
        <w:t xml:space="preserve">2.4 Broadband Speed Data</w:t>
      </w:r>
    </w:p>
    <w:p>
      <w:r>
        <w:t xml:space="preserve">Broadband performance data was obtained directly from Ofcom, the UK communications regulator, as part of its Connected Nations 2022 report. The Fixed Performance Local and Unitary Authority dataset provides average download and upload speeds, and the percentage of premises with access to superfast and ultrafast broadband, aggregated at local and unitary authority level. This is a coarser geography than individual towns: Kent's districts (e.g. Maidstone, Ashford) map reasonably well to the selected towns, but Monmouthshire is a single unitary authority, meaning all Monmouthshire towns will share one broadband figure. This is recorded here as a limitation of the dataset's granularity and will be discussed further in the exploratory data analysis and conclusions sections. The data reflects a snapshot taken in May 2022 and does not represent current broadband speeds.</w:t>
      </w:r>
    </w:p>
    <w:p/>
    <w:p>
      <w:pPr>
        <w:pStyle w:val="Heading2"/>
      </w:pPr>
      <w:r>
        <w:t xml:space="preserve">2.5 Crime Data</w:t>
      </w:r>
    </w:p>
    <w:p>
      <w:r>
        <w:t xml:space="preserve">Crime data originates from data.police.uk, the official open data portal for policing in England, Wales, and Northern Ireland, and was accessed via a Kaggle mirror (kaggle.com/datasets/mexwell/uk-police-data) for practicality. The dataset provides street-level crime records including crime type, month, and Lower Layer Super Output Area (LSOA), broken down by police force. Kent towns fall under Kent Police, while Monmouthshire towns fall under Gwent Police; the dataset will be filtered to these two forces and further narrowed by LSOA during data wrangling. As raw crime counts are not directly comparable between towns of different sizes, crime figures will be normalised per head of population before being used in the recommendation system.</w:t>
      </w:r>
    </w:p>
    <w:p/>
    <w:p>
      <w:pPr>
        <w:pStyle w:val="Heading2"/>
      </w:pPr>
      <w:r>
        <w:t xml:space="preserve">2.6 Legal and Ethical Note</w:t>
      </w:r>
    </w:p>
    <w:p>
      <w:r>
        <w:t xml:space="preserve">All datasets used in this project are published under the Open Government Licence v3.0, which permits copying, adapting, and redistributing the data for any purpose, provided the source is acknowledged. Attribution statements for each dataset are included above and will be repeated in full in the project's final references section. No personally identifiable information is contained in any dataset: house price records are aggregated to property/postcode level without owner names, broadband and air quality data are aggregated to local authority level, and crime data is deliberately anonymised and geographically generalised to the LSOA level by the police to prevent identification of individuals or exact addresses.</w:t>
      </w:r>
    </w:p>
    <w:p/>
    <w:p>
      <w:pPr>
        <w:pStyle w:val="Heading1"/>
      </w:pPr>
      <w:r>
        <w:t xml:space="preserve">3. Fourth Factor: Air Quality</w:t>
      </w:r>
    </w:p>
    <w:p>
      <w:pPr>
        <w:pStyle w:val="Heading2"/>
      </w:pPr>
      <w:r>
        <w:t xml:space="preserve">3.1 Justification</w:t>
      </w:r>
    </w:p>
    <w:p>
      <w:r>
        <w:t xml:space="preserve">In addition to the three required factors (house prices, broadband speed, and crime), the project brief calls for one further characteristic to be chosen and justified. Air quality, specifically fine particulate matter (PM2.5), was selected for this role.</w:t>
      </w:r>
    </w:p>
    <w:p/>
    <w:p>
      <w:r>
        <w:t xml:space="preserve">PM2.5 was chosen over alternatives such as school quality, green space, or transport links for three reasons. First, it is a factor directly relevant to health and quality of life that a prospective homebuyer would reasonably want to know about, yet is easy to overlook compared to more visible factors like price or crime. Second, PM2.5 is the pollutant most consistently used in public health research and by Defra itself to estimate the mortality burden of air pollution, making it a well-evidenced and policy-relevant measure of environmental quality rather than an arbitrary choice. Third, unlike some alternative factors, reliable, pre-aggregated, government-published data for PM2.5 exists at local authority level for the whole of the UK, meaning it can be sourced with the same rigour and provenance as the three required datasets, rather than relying on a patchwork of local or unofficial sources.</w:t>
      </w:r>
    </w:p>
    <w:p/>
    <w:p>
      <w:r>
        <w:t xml:space="preserve">Alternatives were considered and rejected. School quality (e.g. Ofsted ratings) was judged to introduce a subjective, categorical rating that would be harder to combine numerically with the other factors. Green space and transport links, while relevant to desirability, generally lack a single authoritative, nationally consistent open dataset comparable in quality to Defra's air quality modelling. Air quality was therefore judged to offer the best balance of relevance, data quality, and comparability with the project's other three factors.</w:t>
      </w:r>
    </w:p>
    <w:p/>
    <w:p>
      <w:pPr>
        <w:pStyle w:val="Heading2"/>
      </w:pPr>
      <w:r>
        <w:t xml:space="preserve">3.2 Data Source</w:t>
      </w:r>
    </w:p>
    <w:p>
      <w:r>
        <w:t xml:space="preserve">Air quality data was obtained from Defra's UK-AIR service, specifically the Population-Weighted Annual Mean PM2.5 by Local Authority dataset for 2023 (uk-air.defra.gov.uk/data/pcm-data). This dataset is produced under Defra's Modelling of Ambient Air Quality (MAAQ) contract and provides a modelled, population-weighted estimate of annual mean PM2.5 concentration (in µg/m³) for every UK local authority, split into total, anthropogenic (human-made), and non-anthropogenic components. It is the same dataset Defra uses to calculate the Public Health Outcomes Framework indicator for mortality attributable to particulate air pollution, giving it strong credibility as a measure of local air quality.</w:t>
      </w:r>
    </w:p>
    <w:p/>
    <w:p>
      <w:r>
        <w:t xml:space="preserve">The dataset is published under the Open Government Licence v3.0 (Crown copyright), on the same terms as the house price, broadband, and crime datasets, so no additional licensing considerations arise from its inclusion.</w:t>
      </w:r>
    </w:p>
    <w:p/>
    <w:p>
      <w:pPr>
        <w:pStyle w:val="Heading2"/>
      </w:pPr>
      <w:r>
        <w:t xml:space="preserve">3.3 Limitations</w:t>
      </w:r>
    </w:p>
    <w:p>
      <w:r>
        <w:t xml:space="preserve">Two limitations are noted. First, the figures are modelled estimates rather than direct measurements, calibrated against Defra's national monitoring network; they should be interpreted as a reliable approximation of background air quality rather than an exact reading for any specific street or postcode. Second, as with the broadband dataset, the data is aggregated to local authority level rather than individual town. Kent's local authority districts correspond reasonably well to the selected towns, but Monmouthshire is administered as a single unitary authority, so all five Monmouthshire towns in this study will share one PM2.5 figure. This repeats the same granularity limitation identified for the broadband dataset in Section 2.4, and is discussed further in the exploratory data analysis and conclusions sections of this report.</w:t>
      </w:r>
    </w:p>
    <w:p/>
    <w:p>
      <w:pPr>
        <w:pStyle w:val="Heading1"/>
      </w:pPr>
      <w:r>
        <w:t xml:space="preserve">4. Data Filtering</w:t>
      </w:r>
    </w:p>
    <w:p>
      <w:pPr>
        <w:pStyle w:val="Heading2"/>
      </w:pPr>
      <w:r>
        <w:t xml:space="preserve">4.1 Overview</w:t>
      </w:r>
    </w:p>
    <w:p>
      <w:r>
        <w:t xml:space="preserve">With all four raw datasets collected (Section 2) and loaded and inspected for structural issues (a separate technical stage not detailed in this report), each dataset was filtered down to only the data relevant to the 20 selected towns across Kent and Monmouthshire. This section documents what was filtered, how, and an important structural finding that emerged during filtering: several of the selected towns share a single local authority district, meaning some datasets cannot distinguish between them.</w:t>
      </w:r>
    </w:p>
    <w:p/>
    <w:p>
      <w:pPr>
        <w:pStyle w:val="Heading2"/>
      </w:pPr>
      <w:r>
        <w:t xml:space="preserve">4.2 The Town-to-District Mapping</w:t>
      </w:r>
    </w:p>
    <w:p>
      <w:r>
        <w:t xml:space="preserve">House prices, broadband, and air quality data are all published using local authority District (or unitary authority) names rather than individual town names. A mapping was therefore built from each of the 20 selected towns to its real local authority District, based on actual UK local government structure rather than assumed from town names alone (for example, Folkestone's district is officially "Folkestone and Hythe", and Royal Tunbridge Wells' district is "Tunbridge Wells").</w:t>
      </w:r>
    </w:p>
    <w:p/>
    <w:p>
      <w:r>
        <w:t xml:space="preserve">Building this mapping surfaced an important structural finding: the 20 selected towns correspond to only 13 unique districts, because several towns share the same local authority area. This is summarised below.</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1F4E5F" w:val="clear"/>
          </w:tcPr>
          <w:p>
            <w:r>
              <w:rPr>
                <w:b/>
                <w:bCs/>
                <w:color w:val="FFFFFF"/>
              </w:rPr>
              <w:t xml:space="preserve">District</w:t>
            </w:r>
          </w:p>
        </w:tc>
        <w:tc>
          <w:tcPr>
            <w:tcW w:type="dxa" w:w="6000"/>
            <w:shd w:fill="1F4E5F" w:val="clear"/>
          </w:tcPr>
          <w:p>
            <w:r>
              <w:rPr>
                <w:b/>
                <w:bCs/>
                <w:color w:val="FFFFFF"/>
              </w:rPr>
              <w:t xml:space="preserve">Towns sharing this district</w:t>
            </w:r>
          </w:p>
        </w:tc>
      </w:tr>
      <w:tr>
        <w:tc>
          <w:tcPr>
            <w:tcW w:type="dxa" w:w="3200"/>
          </w:tcPr>
          <w:p>
            <w:r>
              <w:t xml:space="preserve">Medway</w:t>
            </w:r>
          </w:p>
        </w:tc>
        <w:tc>
          <w:tcPr>
            <w:tcW w:type="dxa" w:w="6000"/>
          </w:tcPr>
          <w:p>
            <w:r>
              <w:t xml:space="preserve">Chatham, Rochester, Gillingham</w:t>
            </w:r>
          </w:p>
        </w:tc>
      </w:tr>
      <w:tr>
        <w:tc>
          <w:tcPr>
            <w:tcW w:type="dxa" w:w="3200"/>
          </w:tcPr>
          <w:p>
            <w:r>
              <w:t xml:space="preserve">Thanet</w:t>
            </w:r>
          </w:p>
        </w:tc>
        <w:tc>
          <w:tcPr>
            <w:tcW w:type="dxa" w:w="6000"/>
          </w:tcPr>
          <w:p>
            <w:r>
              <w:t xml:space="preserve">Margate, Ramsgate</w:t>
            </w:r>
          </w:p>
        </w:tc>
      </w:tr>
      <w:tr>
        <w:tc>
          <w:tcPr>
            <w:tcW w:type="dxa" w:w="3200"/>
          </w:tcPr>
          <w:p>
            <w:r>
              <w:t xml:space="preserve">Monmouthshire</w:t>
            </w:r>
          </w:p>
        </w:tc>
        <w:tc>
          <w:tcPr>
            <w:tcW w:type="dxa" w:w="6000"/>
          </w:tcPr>
          <w:p>
            <w:r>
              <w:t xml:space="preserve">Abergavenny, Chepstow, Caldicot, Monmouth, Usk</w:t>
            </w:r>
          </w:p>
        </w:tc>
      </w:tr>
    </w:tbl>
    <w:p/>
    <w:p>
      <w:r>
        <w:t xml:space="preserve">This has a direct consequence for the analysis: since broadband and air quality data are only available at district level, Chatham, Rochester, and Gillingham will carry identical broadband and air quality figures, and the same applies to Margate and Ramsgate. This is not an error in the data or the filtering process; it is a genuine structural limitation of using district-level open data to represent individual towns, and it is treated as such throughout this report rather than concealed. House price and crime data, by contrast, retain enough detail (individual transaction records and LSOA-level crime records respectively) to distinguish between towns even within a shared district, which is discussed further below.</w:t>
      </w:r>
    </w:p>
    <w:p/>
    <w:p>
      <w:pPr>
        <w:pStyle w:val="Heading2"/>
      </w:pPr>
      <w:r>
        <w:t xml:space="preserve">4.3 Filtering House Prices, Broadband, and Air Quality</w:t>
      </w:r>
    </w:p>
    <w:p>
      <w:r>
        <w:t xml:space="preserve">House prices, broadband, and air quality were filtered using the same District-based mapping described above. Broadband and air quality, being small files (one row per UK local authority), were filtered directly by matching the District/Local Authority column against the 13 selected districts.</w:t>
      </w:r>
    </w:p>
    <w:p/>
    <w:p>
      <w:r>
        <w:t xml:space="preserve">House prices required more care due to file size: even split into yearly files (Section 2.3), each year still contains 800,000 to over 1,000,000 transaction records for the whole of England and Wales. Rather than loading an entire yearly file into memory before filtering, each file was read and filtered in chunks of 200,000 rows at a time, with only matching rows retained. This kept memory usage low throughout and avoided the file-access problems encountered with the original single-file approach (Section 2.3).</w:t>
      </w:r>
    </w:p>
    <w:p/>
    <w:p>
      <w:r>
        <w:t xml:space="preserve">The filtering script also prints an explicit warning if any of the 13 expected districts is not found in a given dataset. This safeguard exists because a silent filtering mismatch (for example, a dataset spelling a district name with an ampersand instead of "and") would otherwise cause that town's data to be silently dropped, with no visible indication that anything had gone wrong until a gap was noticed much later during analysis.</w:t>
      </w:r>
    </w:p>
    <w:p/>
    <w:p>
      <w:pPr>
        <w:pStyle w:val="Heading2"/>
      </w:pPr>
      <w:r>
        <w:t xml:space="preserve">4.4 Filtering and Aggregating Crime Data</w:t>
      </w:r>
    </w:p>
    <w:p>
      <w:r>
        <w:t xml:space="preserve">Crime data required a different filtering approach, since the raw police.uk street-level files do not include a District column. Records were first filtered to only those attributed to Kent Police or Gwent Police (the two forces covering the selected counties), narrowing the dataset from 36 monthly folders covering roughly 44 police forces each to only the relevant force files.</w:t>
      </w:r>
    </w:p>
    <w:p/>
    <w:p>
      <w:r>
        <w:t xml:space="preserve">Each remaining crime record was then matched to a specific town using its LSOA (Lower Layer Super Output Area) name, which typically begins with the relevant local authority area name (for example, "Maidstone 001A"). Matching required handling multi-word area names correctly (for example, "Tunbridge Wells 003A") and excluding records with no usable location (recorded as "No Location" in the source data, generally used for sensitive crime types).</w:t>
      </w:r>
    </w:p>
    <w:p/>
    <w:p>
      <w:r>
        <w:t xml:space="preserve">The 14 distinct crime types present in the raw data were grouped into three broader categories, following the same general approach used in official UK crime statistics: Violent (violence and sexual offences, robbery, possession of weapons), Property (burglary, vehicle crime, theft-related offences, criminal damage and arson, shoplifting), and Other (anti-social behaviour, public order, drugs, and other crime). This grouping was chosen to keep the later recommendation system's crime score interpretable, rather than working with 14 separate categories.</w:t>
      </w:r>
    </w:p>
    <w:p/>
    <w:p>
      <w:r>
        <w:t xml:space="preserve">Because LSOA naming follows the same district-level pattern as broadband and air quality data, the Medway and Thanet towns identified in Section 4.2 also share identical crime figures with each other, extending the same structural limitation to a third dataset. Crime counts for each town were normalised per 1,000 residents (using the population figures established in Section 1) so that towns of very different sizes, such as Maidstone (population 113,137) and Usk (population 3,000), can be compared fairly rather than simply reflecting town size.</w:t>
      </w:r>
    </w:p>
    <w:p/>
    <w:p>
      <w:pPr>
        <w:pStyle w:val="Heading2"/>
      </w:pPr>
      <w:r>
        <w:t xml:space="preserve">4.5 Summary of Filtering Outcomes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c>
          <w:tcPr>
            <w:tcW w:type="dxa" w:w="2200"/>
            <w:shd w:fill="1F4E5F" w:val="clear"/>
          </w:tcPr>
          <w:p>
            <w:r>
              <w:rPr>
                <w:b/>
                <w:bCs/>
                <w:color w:val="FFFFFF"/>
              </w:rPr>
              <w:t xml:space="preserve">Dataset</w:t>
            </w:r>
          </w:p>
        </w:tc>
        <w:tc>
          <w:tcPr>
            <w:tcW w:type="dxa" w:w="3200"/>
            <w:shd w:fill="1F4E5F" w:val="clear"/>
          </w:tcPr>
          <w:p>
            <w:r>
              <w:rPr>
                <w:b/>
                <w:bCs/>
                <w:color w:val="FFFFFF"/>
              </w:rPr>
              <w:t xml:space="preserve">Filtering method</w:t>
            </w:r>
          </w:p>
        </w:tc>
        <w:tc>
          <w:tcPr>
            <w:tcW w:type="dxa" w:w="3800"/>
            <w:shd w:fill="1F4E5F" w:val="clear"/>
          </w:tcPr>
          <w:p>
            <w:r>
              <w:rPr>
                <w:b/>
                <w:bCs/>
                <w:color w:val="FFFFFF"/>
              </w:rPr>
              <w:t xml:space="preserve">Result</w:t>
            </w:r>
          </w:p>
        </w:tc>
      </w:tr>
      <w:tr>
        <w:tc>
          <w:tcPr>
            <w:tcW w:type="dxa" w:w="2200"/>
          </w:tcPr>
          <w:p>
            <w:r>
              <w:t xml:space="preserve">House prices</w:t>
            </w:r>
          </w:p>
        </w:tc>
        <w:tc>
          <w:tcPr>
            <w:tcW w:type="dxa" w:w="3200"/>
          </w:tcPr>
          <w:p>
            <w:r>
              <w:t xml:space="preserve">Chunked read, filtered by District (2021-2024 yearly files)</w:t>
            </w:r>
          </w:p>
        </w:tc>
        <w:tc>
          <w:tcPr>
            <w:tcW w:type="dxa" w:w="3800"/>
          </w:tcPr>
          <w:p>
            <w:r>
              <w:t xml:space="preserve">Filtered to 13 selected districts, ready for per-town aggregation</w:t>
            </w:r>
          </w:p>
        </w:tc>
      </w:tr>
      <w:tr>
        <w:tc>
          <w:tcPr>
            <w:tcW w:type="dxa" w:w="2200"/>
          </w:tcPr>
          <w:p>
            <w:r>
              <w:t xml:space="preserve">Broadband</w:t>
            </w:r>
          </w:p>
        </w:tc>
        <w:tc>
          <w:tcPr>
            <w:tcW w:type="dxa" w:w="3200"/>
          </w:tcPr>
          <w:p>
            <w:r>
              <w:t xml:space="preserve">Direct filter by Local Authority name</w:t>
            </w:r>
          </w:p>
        </w:tc>
        <w:tc>
          <w:tcPr>
            <w:tcW w:type="dxa" w:w="3800"/>
          </w:tcPr>
          <w:p>
            <w:r>
              <w:t xml:space="preserve">13 of 13 districts confirmed present</w:t>
            </w:r>
          </w:p>
        </w:tc>
      </w:tr>
      <w:tr>
        <w:tc>
          <w:tcPr>
            <w:tcW w:type="dxa" w:w="2200"/>
          </w:tcPr>
          <w:p>
            <w:r>
              <w:t xml:space="preserve">Air quality</w:t>
            </w:r>
          </w:p>
        </w:tc>
        <w:tc>
          <w:tcPr>
            <w:tcW w:type="dxa" w:w="3200"/>
          </w:tcPr>
          <w:p>
            <w:r>
              <w:t xml:space="preserve">Direct filter by Local Authority name</w:t>
            </w:r>
          </w:p>
        </w:tc>
        <w:tc>
          <w:tcPr>
            <w:tcW w:type="dxa" w:w="3800"/>
          </w:tcPr>
          <w:p>
            <w:r>
              <w:t xml:space="preserve">13 of 13 districts confirmed present</w:t>
            </w:r>
          </w:p>
        </w:tc>
      </w:tr>
      <w:tr>
        <w:tc>
          <w:tcPr>
            <w:tcW w:type="dxa" w:w="2200"/>
          </w:tcPr>
          <w:p>
            <w:r>
              <w:t xml:space="preserve">Crime</w:t>
            </w:r>
          </w:p>
        </w:tc>
        <w:tc>
          <w:tcPr>
            <w:tcW w:type="dxa" w:w="3200"/>
          </w:tcPr>
          <w:p>
            <w:r>
              <w:t xml:space="preserve">Filtered by police force, matched by LSOA name prefix, grouped by type</w:t>
            </w:r>
          </w:p>
        </w:tc>
        <w:tc>
          <w:tcPr>
            <w:tcW w:type="dxa" w:w="3800"/>
          </w:tcPr>
          <w:p>
            <w:r>
              <w:t xml:space="preserve">One row per town: total crimes, Violent/Property/Other breakdown, crimes per 1,000 residents</w:t>
            </w:r>
          </w:p>
        </w:tc>
      </w:tr>
    </w:tbl>
    <w:p/>
    <w:p>
      <w:r>
        <w:t xml:space="preserve">With all four datasets filtered to the relevant towns and districts, the next stage of the project combines them into a single structure suitable for exploratory data analysis and, ultimately, the relational data model required by the project brief.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2026-09-17T04:40:46.748Z</dcterms:created>
  <dcterms:modified xsi:type="dcterms:W3CDTF">2026-09-17T04:40:46.756Z</dcterms:modified>
</cp:coreProperties>
</file>

<file path=docProps/custom.xml><?xml version="1.0" encoding="utf-8"?>
<Properties xmlns="http://schemas.openxmlformats.org/officeDocument/2006/custom-properties" xmlns:vt="http://schemas.openxmlformats.org/officeDocument/2006/docPropsVTypes"/>
</file>