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81" w:rsidRDefault="009F6581" w:rsidP="009F65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Cloud Computing for Data Analysis</w:t>
      </w:r>
    </w:p>
    <w:p w:rsidR="009F6581" w:rsidRPr="009F6581" w:rsidRDefault="009F6581" w:rsidP="009F65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 xml:space="preserve">Exercise </w:t>
      </w:r>
      <w:proofErr w:type="gramStart"/>
      <w:r>
        <w:rPr>
          <w:rFonts w:ascii="Times New Roman" w:eastAsia="CMR10" w:hAnsi="Times New Roman" w:cs="Times New Roman"/>
          <w:b/>
          <w:sz w:val="28"/>
          <w:szCs w:val="28"/>
        </w:rPr>
        <w:t>06 :</w:t>
      </w:r>
      <w:proofErr w:type="gramEnd"/>
      <w:r>
        <w:rPr>
          <w:rFonts w:ascii="Times New Roman" w:eastAsia="CMR10" w:hAnsi="Times New Roman" w:cs="Times New Roman"/>
          <w:b/>
          <w:sz w:val="28"/>
          <w:szCs w:val="28"/>
        </w:rPr>
        <w:t xml:space="preserve"> Association Rule Mining</w:t>
      </w:r>
    </w:p>
    <w:p w:rsidR="009F6581" w:rsidRDefault="009F6581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>Consider the data set shown in Table 6.1.</w:t>
      </w:r>
    </w:p>
    <w:p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 xml:space="preserve">(a) Compute the support for </w:t>
      </w:r>
      <w:proofErr w:type="spellStart"/>
      <w:r w:rsidRPr="0028173B">
        <w:rPr>
          <w:rFonts w:ascii="Times New Roman" w:eastAsia="CMR10" w:hAnsi="Times New Roman" w:cs="Times New Roman"/>
          <w:sz w:val="28"/>
          <w:szCs w:val="28"/>
        </w:rPr>
        <w:t>itemsets</w:t>
      </w:r>
      <w:proofErr w:type="spellEnd"/>
      <w:r w:rsidRPr="0028173B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,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, and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d, 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} </w:t>
      </w:r>
      <w:r w:rsidRPr="0028173B">
        <w:rPr>
          <w:rFonts w:ascii="Times New Roman" w:eastAsia="CMR10" w:hAnsi="Times New Roman" w:cs="Times New Roman"/>
          <w:sz w:val="28"/>
          <w:szCs w:val="28"/>
        </w:rPr>
        <w:t>by treating</w:t>
      </w:r>
    </w:p>
    <w:p w:rsidR="00340D02" w:rsidRPr="0028173B" w:rsidRDefault="0028173B" w:rsidP="0028173B">
      <w:pPr>
        <w:rPr>
          <w:rFonts w:ascii="Times New Roman" w:eastAsia="CMR10" w:hAnsi="Times New Roman" w:cs="Times New Roman"/>
          <w:sz w:val="28"/>
          <w:szCs w:val="28"/>
        </w:rPr>
      </w:pPr>
      <w:proofErr w:type="gramStart"/>
      <w:r w:rsidRPr="0028173B">
        <w:rPr>
          <w:rFonts w:ascii="Times New Roman" w:eastAsia="CMR10" w:hAnsi="Times New Roman" w:cs="Times New Roman"/>
          <w:sz w:val="28"/>
          <w:szCs w:val="28"/>
        </w:rPr>
        <w:t>each</w:t>
      </w:r>
      <w:proofErr w:type="gramEnd"/>
      <w:r w:rsidRPr="0028173B">
        <w:rPr>
          <w:rFonts w:ascii="Times New Roman" w:eastAsia="CMR10" w:hAnsi="Times New Roman" w:cs="Times New Roman"/>
          <w:sz w:val="28"/>
          <w:szCs w:val="28"/>
        </w:rPr>
        <w:t xml:space="preserve"> transaction ID as a market basket.</w:t>
      </w:r>
    </w:p>
    <w:p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8173B">
        <w:rPr>
          <w:rFonts w:ascii="Times New Roman" w:eastAsia="CMR10" w:hAnsi="Times New Roman" w:cs="Times New Roman"/>
          <w:sz w:val="28"/>
          <w:szCs w:val="28"/>
        </w:rPr>
        <w:t>(b) Use the results in part (a) to compute the confidence for the association</w:t>
      </w:r>
    </w:p>
    <w:p w:rsidR="0028173B" w:rsidRPr="0028173B" w:rsidRDefault="0028173B" w:rsidP="0028173B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proofErr w:type="gramStart"/>
      <w:r w:rsidRPr="0028173B">
        <w:rPr>
          <w:rFonts w:ascii="Times New Roman" w:eastAsia="CMR10" w:hAnsi="Times New Roman" w:cs="Times New Roman"/>
          <w:sz w:val="28"/>
          <w:szCs w:val="28"/>
        </w:rPr>
        <w:t>rules</w:t>
      </w:r>
      <w:proofErr w:type="gramEnd"/>
      <w:r w:rsidRPr="0028173B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 −→ 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} 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and 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e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 −→ {</w:t>
      </w:r>
      <w:r w:rsidRPr="0028173B">
        <w:rPr>
          <w:rFonts w:ascii="Times New Roman" w:eastAsia="CMMI10" w:hAnsi="Times New Roman" w:cs="Times New Roman"/>
          <w:i/>
          <w:iCs/>
          <w:sz w:val="28"/>
          <w:szCs w:val="28"/>
        </w:rPr>
        <w:t>b, d</w:t>
      </w:r>
      <w:r w:rsidRPr="0028173B">
        <w:rPr>
          <w:rFonts w:ascii="Times New Roman" w:eastAsia="CMSY10" w:hAnsi="Times New Roman" w:cs="Times New Roman"/>
          <w:i/>
          <w:iCs/>
          <w:sz w:val="28"/>
          <w:szCs w:val="28"/>
        </w:rPr>
        <w:t>}</w:t>
      </w:r>
      <w:r w:rsidRPr="0028173B">
        <w:rPr>
          <w:rFonts w:ascii="Times New Roman" w:eastAsia="CMR10" w:hAnsi="Times New Roman" w:cs="Times New Roman"/>
          <w:sz w:val="28"/>
          <w:szCs w:val="28"/>
        </w:rPr>
        <w:t xml:space="preserve">. Is confidence a </w:t>
      </w:r>
      <w:proofErr w:type="gramStart"/>
      <w:r w:rsidRPr="0028173B">
        <w:rPr>
          <w:rFonts w:ascii="Times New Roman" w:eastAsia="CMR10" w:hAnsi="Times New Roman" w:cs="Times New Roman"/>
          <w:sz w:val="28"/>
          <w:szCs w:val="28"/>
        </w:rPr>
        <w:t>symmetric</w:t>
      </w:r>
      <w:proofErr w:type="gramEnd"/>
    </w:p>
    <w:p w:rsidR="0028173B" w:rsidRDefault="0028173B" w:rsidP="0028173B">
      <w:pPr>
        <w:rPr>
          <w:rFonts w:ascii="Times New Roman" w:eastAsia="CMR10" w:hAnsi="Times New Roman" w:cs="Times New Roman"/>
          <w:sz w:val="28"/>
          <w:szCs w:val="28"/>
        </w:rPr>
      </w:pPr>
      <w:proofErr w:type="gramStart"/>
      <w:r w:rsidRPr="0028173B">
        <w:rPr>
          <w:rFonts w:ascii="Times New Roman" w:eastAsia="CMR10" w:hAnsi="Times New Roman" w:cs="Times New Roman"/>
          <w:sz w:val="28"/>
          <w:szCs w:val="28"/>
        </w:rPr>
        <w:t>measure</w:t>
      </w:r>
      <w:proofErr w:type="gramEnd"/>
      <w:r w:rsidRPr="0028173B">
        <w:rPr>
          <w:rFonts w:ascii="Times New Roman" w:eastAsia="CMR10" w:hAnsi="Times New Roman" w:cs="Times New Roman"/>
          <w:sz w:val="28"/>
          <w:szCs w:val="28"/>
        </w:rPr>
        <w:t>?</w:t>
      </w:r>
    </w:p>
    <w:p w:rsidR="00D16A52" w:rsidRDefault="00D16A52" w:rsidP="00D16A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Table 6.1. </w:t>
      </w:r>
      <w:r>
        <w:rPr>
          <w:rFonts w:ascii="Helvetica" w:hAnsi="Helvetica" w:cs="Helvetica"/>
          <w:sz w:val="20"/>
          <w:szCs w:val="20"/>
        </w:rPr>
        <w:t>Example of market basket transactions.</w:t>
      </w:r>
    </w:p>
    <w:tbl>
      <w:tblPr>
        <w:tblW w:w="6882" w:type="dxa"/>
        <w:tblInd w:w="93" w:type="dxa"/>
        <w:tblLook w:val="04A0" w:firstRow="1" w:lastRow="0" w:firstColumn="1" w:lastColumn="0" w:noHBand="0" w:noVBand="1"/>
      </w:tblPr>
      <w:tblGrid>
        <w:gridCol w:w="4660"/>
        <w:gridCol w:w="1262"/>
        <w:gridCol w:w="960"/>
      </w:tblGrid>
      <w:tr w:rsidR="00D16A52" w:rsidRPr="00D16A52" w:rsidTr="00805A96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Customer ID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Transaction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Items Bought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440E7B" w:rsidRDefault="00D16A52" w:rsidP="00D16A52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bookmarkStart w:id="0" w:name="_GoBack"/>
            <w:r w:rsidRPr="00440E7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</w:t>
            </w:r>
            <w:bookmarkEnd w:id="0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 xml:space="preserve">{a, b, </w:t>
            </w:r>
            <w:proofErr w:type="spellStart"/>
            <w:r w:rsidRPr="00D16A52">
              <w:rPr>
                <w:rFonts w:ascii="Calibri" w:eastAsia="Times New Roman" w:hAnsi="Calibri" w:cs="Times New Roman"/>
                <w:color w:val="000000"/>
              </w:rPr>
              <w:t>c,e</w:t>
            </w:r>
            <w:proofErr w:type="spellEnd"/>
            <w:r w:rsidRPr="00D16A52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 xml:space="preserve">{a, b, </w:t>
            </w:r>
            <w:proofErr w:type="spellStart"/>
            <w:r w:rsidRPr="00D16A52">
              <w:rPr>
                <w:rFonts w:ascii="Calibri" w:eastAsia="Times New Roman" w:hAnsi="Calibri" w:cs="Times New Roman"/>
                <w:color w:val="000000"/>
              </w:rPr>
              <w:t>d,e</w:t>
            </w:r>
            <w:proofErr w:type="spellEnd"/>
            <w:r w:rsidRPr="00D16A52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 xml:space="preserve">{a, c, </w:t>
            </w:r>
            <w:proofErr w:type="spellStart"/>
            <w:r w:rsidRPr="00D16A52">
              <w:rPr>
                <w:rFonts w:ascii="Calibri" w:eastAsia="Times New Roman" w:hAnsi="Calibri" w:cs="Times New Roman"/>
                <w:color w:val="000000"/>
              </w:rPr>
              <w:t>d,e</w:t>
            </w:r>
            <w:proofErr w:type="spellEnd"/>
            <w:r w:rsidRPr="00D16A52">
              <w:rPr>
                <w:rFonts w:ascii="Calibri" w:eastAsia="Times New Roman" w:hAnsi="Calibri" w:cs="Times New Roman"/>
                <w:color w:val="000000"/>
              </w:rPr>
              <w:t>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{b, c, e}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{b, d, e}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{c, d}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b, c}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</w:tr>
      <w:tr w:rsidR="00D16A52" w:rsidRPr="00D16A52" w:rsidTr="00805A96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D16A52">
              <w:rPr>
                <w:rFonts w:ascii="CMR10" w:eastAsia="CMR10" w:hAnsi="Calibri" w:cs="Times New Roman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52" w:rsidRPr="00D16A52" w:rsidRDefault="00D16A52" w:rsidP="00D16A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52">
              <w:rPr>
                <w:rFonts w:ascii="Calibri" w:eastAsia="Times New Roman" w:hAnsi="Calibri" w:cs="Times New Roman"/>
                <w:color w:val="000000"/>
              </w:rPr>
              <w:t>{a, b, e}</w:t>
            </w:r>
          </w:p>
        </w:tc>
      </w:tr>
    </w:tbl>
    <w:p w:rsidR="00D16A52" w:rsidRPr="0028173B" w:rsidRDefault="00D16A52" w:rsidP="00D16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16A52" w:rsidRPr="0028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Times New Roman Uni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173B"/>
    <w:rsid w:val="0028173B"/>
    <w:rsid w:val="00340D02"/>
    <w:rsid w:val="00440E7B"/>
    <w:rsid w:val="00805A96"/>
    <w:rsid w:val="009F6581"/>
    <w:rsid w:val="00D1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8213BF-70C2-486E-88B5-E151A890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Ranganathan, Jaishree</cp:lastModifiedBy>
  <cp:revision>15</cp:revision>
  <dcterms:created xsi:type="dcterms:W3CDTF">2016-01-13T15:16:00Z</dcterms:created>
  <dcterms:modified xsi:type="dcterms:W3CDTF">2018-10-24T20:29:00Z</dcterms:modified>
</cp:coreProperties>
</file>