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6 Assignment</w:t>
        <w:br/>
        <w:t>Customer Support Intent Classification</w:t>
      </w:r>
    </w:p>
    <w:p>
      <w:pPr>
        <w:jc w:val="center"/>
      </w:pPr>
      <w:r>
        <w:t>AI-Based Smart Queue &amp; Time Management System | TECH 405</w:t>
        <w:br/>
        <w:t>Bishwadeep Rai | Westcliff University, California | Professor Aashish Dhakal</w:t>
        <w:br/>
        <w:t>Feed-forward Neural Network (MLP) vs. PyTorch LSTM</w:t>
      </w:r>
    </w:p>
    <w:p>
      <w:pPr>
        <w:pStyle w:val="Heading1"/>
      </w:pPr>
      <w:r>
        <w:t>Executive summary</w:t>
      </w:r>
    </w:p>
    <w:p>
      <w:r>
        <w:t>This classification experiment predicts the service intent of an incoming customer-support request, a practical request-routing component for the Smart Queue project. The executed notebook compares two distinct neural models on identical held-out data: a TF-IDF feed-forward MLP and a token-embedding recurrent LSTM. The target is the dataset's labeled intent.</w:t>
      </w:r>
    </w:p>
    <w:p>
      <w:r>
        <w:t>By held-out macro F1, the stronger model in this run was Feed-forward MLP. Read the full metric table and figures below; macro scores weight each intent equally.</w:t>
      </w:r>
    </w:p>
    <w:p>
      <w:pPr>
        <w:pStyle w:val="Heading1"/>
      </w:pPr>
      <w:r>
        <w:t>Dataset and ground truth</w:t>
      </w:r>
    </w:p>
    <w:p>
      <w:r>
        <w:t xml:space="preserve">Dataset: </w:t>
      </w:r>
      <w:hyperlink r:id="rId9">
        <w:r>
          <w:rPr>
            <w:color w:val="0563C1"/>
            <w:u w:val="single"/>
          </w:rPr>
          <w:t>Bitext Customer Service Tagged Training Dataset</w:t>
        </w:r>
      </w:hyperlink>
    </w:p>
    <w:p>
      <w:r>
        <w:t>Source-reported size is approximately 26,872 request/response examples. The loaded CSV contains 26,872 rows and 27 intent classes. The input is the customer's `instruction`; `intent` is the ground-truth class used for training and validation.</w:t>
      </w:r>
    </w:p>
    <w:p>
      <w:r>
        <w:t>The source metadata declares CDLA-Sharing-1.0. Its dataset card identifies the corpus as hybrid synthetic data produced with NLP/NLG and automated labeling. These labels provide a reference target for this assignment, but they are not independently verified real-world queue outcomes. Review the linked license terms before redistributing source data.</w:t>
      </w:r>
    </w:p>
    <w:p>
      <w:r>
        <w:t>Leakage controls: the response and correlated `category` field are excluded; the vocabulary/vectorizer is fitted only on training instructions; and train/validation/test records are mutually exclusive and stratified.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Partition</w:t>
            </w:r>
          </w:p>
        </w:tc>
        <w:tc>
          <w:tcPr>
            <w:tcW w:type="dxa" w:w="4968"/>
          </w:tcPr>
          <w:p>
            <w:r>
              <w:t>Examples</w:t>
            </w:r>
          </w:p>
        </w:tc>
      </w:tr>
      <w:tr>
        <w:tc>
          <w:tcPr>
            <w:tcW w:type="dxa" w:w="4968"/>
          </w:tcPr>
          <w:p>
            <w:r>
              <w:t>Training</w:t>
            </w:r>
          </w:p>
        </w:tc>
        <w:tc>
          <w:tcPr>
            <w:tcW w:type="dxa" w:w="4968"/>
          </w:tcPr>
          <w:p>
            <w:r>
              <w:t>18,810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4,031</w:t>
            </w:r>
          </w:p>
        </w:tc>
      </w:tr>
      <w:tr>
        <w:tc>
          <w:tcPr>
            <w:tcW w:type="dxa" w:w="4968"/>
          </w:tcPr>
          <w:p>
            <w:r>
              <w:t>Held-out test</w:t>
            </w:r>
          </w:p>
        </w:tc>
        <w:tc>
          <w:tcPr>
            <w:tcW w:type="dxa" w:w="4968"/>
          </w:tcPr>
          <w:p>
            <w:r>
              <w:t>4,031</w:t>
            </w:r>
          </w:p>
        </w:tc>
      </w:tr>
    </w:tbl>
    <w:p>
      <w:pPr>
        <w:pStyle w:val="Heading1"/>
      </w:pPr>
      <w:r>
        <w:t>Models and evaluation method</w:t>
      </w:r>
    </w:p>
    <w:p>
      <w:r>
        <w:t>Model 1 — Feed-forward MLP: training-only TF-IDF unigram/bigram features are passed through two ReLU dense layers (256 and 128 units), dropout, and a 27-class output. Sparse batches are densified only while training.</w:t>
      </w:r>
    </w:p>
    <w:p>
      <w:r>
        <w:t>Model 2 — PyTorch LSTM: a training-only word vocabulary maps the request to token IDs; a 64-dimensional embedding feeds a 64-unit recurrent LSTM, dropout, and a 27-class output. Packed sequences prevent padding from being treated as request content.</w:t>
      </w:r>
    </w:p>
    <w:p>
      <w:r>
        <w:t>Split: 18,810 train / 4,031 validation / 4,031 test, stratified with random seed 42. Validation macro F1 selects the checkpoint. The majority baseline predicts the most common training intent.</w:t>
      </w:r>
    </w:p>
    <w:p>
      <w:r>
        <w:t>Precision, recall, and F1 are macro averages across intent classes. ROC-AUC is macro one-vs-rest multiclass AUC. The test set is used once for final reporting, not for model selection.</w:t>
      </w:r>
    </w:p>
    <w:p>
      <w:pPr>
        <w:pStyle w:val="Heading1"/>
      </w:pPr>
      <w:r>
        <w:t>Held-out test results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Model</w:t>
            </w:r>
          </w:p>
        </w:tc>
        <w:tc>
          <w:tcPr>
            <w:tcW w:type="dxa" w:w="1656"/>
          </w:tcPr>
          <w:p>
            <w:r>
              <w:t>Accuracy</w:t>
            </w:r>
          </w:p>
        </w:tc>
        <w:tc>
          <w:tcPr>
            <w:tcW w:type="dxa" w:w="1656"/>
          </w:tcPr>
          <w:p>
            <w:r>
              <w:t>Precision</w:t>
              <w:br/>
              <w:t>(macro)</w:t>
            </w:r>
          </w:p>
        </w:tc>
        <w:tc>
          <w:tcPr>
            <w:tcW w:type="dxa" w:w="1656"/>
          </w:tcPr>
          <w:p>
            <w:r>
              <w:t>Recall</w:t>
              <w:br/>
              <w:t>(macro)</w:t>
            </w:r>
          </w:p>
        </w:tc>
        <w:tc>
          <w:tcPr>
            <w:tcW w:type="dxa" w:w="1656"/>
          </w:tcPr>
          <w:p>
            <w:r>
              <w:t>F1</w:t>
              <w:br/>
              <w:t>(macro)</w:t>
            </w:r>
          </w:p>
        </w:tc>
        <w:tc>
          <w:tcPr>
            <w:tcW w:type="dxa" w:w="1656"/>
          </w:tcPr>
          <w:p>
            <w:r>
              <w:t>ROC-AUC</w:t>
              <w:br/>
              <w:t>(OvR macro)</w:t>
            </w:r>
          </w:p>
        </w:tc>
      </w:tr>
      <w:tr>
        <w:tc>
          <w:tcPr>
            <w:tcW w:type="dxa" w:w="1656"/>
          </w:tcPr>
          <w:p>
            <w:r>
              <w:t>Majority baseline</w:t>
            </w:r>
          </w:p>
        </w:tc>
        <w:tc>
          <w:tcPr>
            <w:tcW w:type="dxa" w:w="1656"/>
          </w:tcPr>
          <w:p>
            <w:r>
              <w:t>0.0372</w:t>
            </w:r>
          </w:p>
        </w:tc>
        <w:tc>
          <w:tcPr>
            <w:tcW w:type="dxa" w:w="1656"/>
          </w:tcPr>
          <w:p>
            <w:r>
              <w:t>0.0014</w:t>
            </w:r>
          </w:p>
        </w:tc>
        <w:tc>
          <w:tcPr>
            <w:tcW w:type="dxa" w:w="1656"/>
          </w:tcPr>
          <w:p>
            <w:r>
              <w:t>0.0370</w:t>
            </w:r>
          </w:p>
        </w:tc>
        <w:tc>
          <w:tcPr>
            <w:tcW w:type="dxa" w:w="1656"/>
          </w:tcPr>
          <w:p>
            <w:r>
              <w:t>0.0027</w:t>
            </w:r>
          </w:p>
        </w:tc>
        <w:tc>
          <w:tcPr>
            <w:tcW w:type="dxa" w:w="1656"/>
          </w:tcPr>
          <w:p>
            <w:r>
              <w:t>N/A</w:t>
            </w:r>
          </w:p>
        </w:tc>
      </w:tr>
      <w:tr>
        <w:tc>
          <w:tcPr>
            <w:tcW w:type="dxa" w:w="1656"/>
          </w:tcPr>
          <w:p>
            <w:r>
              <w:t>Feed-forward MLP</w:t>
            </w:r>
          </w:p>
        </w:tc>
        <w:tc>
          <w:tcPr>
            <w:tcW w:type="dxa" w:w="1656"/>
          </w:tcPr>
          <w:p>
            <w:r>
              <w:t>0.9943</w:t>
            </w:r>
          </w:p>
        </w:tc>
        <w:tc>
          <w:tcPr>
            <w:tcW w:type="dxa" w:w="1656"/>
          </w:tcPr>
          <w:p>
            <w:r>
              <w:t>0.9944</w:t>
            </w:r>
          </w:p>
        </w:tc>
        <w:tc>
          <w:tcPr>
            <w:tcW w:type="dxa" w:w="1656"/>
          </w:tcPr>
          <w:p>
            <w:r>
              <w:t>0.9943</w:t>
            </w:r>
          </w:p>
        </w:tc>
        <w:tc>
          <w:tcPr>
            <w:tcW w:type="dxa" w:w="1656"/>
          </w:tcPr>
          <w:p>
            <w:r>
              <w:t>0.9943</w:t>
            </w:r>
          </w:p>
        </w:tc>
        <w:tc>
          <w:tcPr>
            <w:tcW w:type="dxa" w:w="1656"/>
          </w:tcPr>
          <w:p>
            <w:r>
              <w:t>1.0000</w:t>
            </w:r>
          </w:p>
        </w:tc>
      </w:tr>
      <w:tr>
        <w:tc>
          <w:tcPr>
            <w:tcW w:type="dxa" w:w="1656"/>
          </w:tcPr>
          <w:p>
            <w:r>
              <w:t>PyTorch LSTM</w:t>
            </w:r>
          </w:p>
        </w:tc>
        <w:tc>
          <w:tcPr>
            <w:tcW w:type="dxa" w:w="1656"/>
          </w:tcPr>
          <w:p>
            <w:r>
              <w:t>0.9888</w:t>
            </w:r>
          </w:p>
        </w:tc>
        <w:tc>
          <w:tcPr>
            <w:tcW w:type="dxa" w:w="1656"/>
          </w:tcPr>
          <w:p>
            <w:r>
              <w:t>0.9891</w:t>
            </w:r>
          </w:p>
        </w:tc>
        <w:tc>
          <w:tcPr>
            <w:tcW w:type="dxa" w:w="1656"/>
          </w:tcPr>
          <w:p>
            <w:r>
              <w:t>0.9888</w:t>
            </w:r>
          </w:p>
        </w:tc>
        <w:tc>
          <w:tcPr>
            <w:tcW w:type="dxa" w:w="1656"/>
          </w:tcPr>
          <w:p>
            <w:r>
              <w:t>0.9889</w:t>
            </w:r>
          </w:p>
        </w:tc>
        <w:tc>
          <w:tcPr>
            <w:tcW w:type="dxa" w:w="1656"/>
          </w:tcPr>
          <w:p>
            <w:r>
              <w:t>1.0000</w:t>
            </w:r>
          </w:p>
        </w:tc>
      </w:tr>
    </w:tbl>
    <w:p>
      <w:pPr>
        <w:pStyle w:val="Heading1"/>
      </w:pPr>
      <w:r>
        <w:t>Result snapshots</w:t>
      </w:r>
    </w:p>
    <w:p>
      <w:r>
        <w:drawing>
          <wp:inline xmlns:a="http://schemas.openxmlformats.org/drawingml/2006/main" xmlns:pic="http://schemas.openxmlformats.org/drawingml/2006/picture">
            <wp:extent cx="5760720" cy="25535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3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Row-normalized held-out confusion matrices.</w:t>
      </w:r>
    </w:p>
    <w:p>
      <w:r>
        <w:drawing>
          <wp:inline xmlns:a="http://schemas.openxmlformats.org/drawingml/2006/main" xmlns:pic="http://schemas.openxmlformats.org/drawingml/2006/picture">
            <wp:extent cx="5760720" cy="4297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Micro-averaged one-vs-rest ROC curves.</w:t>
      </w:r>
    </w:p>
    <w:p>
      <w:r>
        <w:drawing>
          <wp:inline xmlns:a="http://schemas.openxmlformats.org/drawingml/2006/main" xmlns:pic="http://schemas.openxmlformats.org/drawingml/2006/picture">
            <wp:extent cx="5760720" cy="18834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lo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3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Training cross-entropy by epoch.</w:t>
      </w:r>
    </w:p>
    <w:p>
      <w:pPr>
        <w:pStyle w:val="Heading1"/>
      </w:pPr>
      <w:r>
        <w:t>Critical code segments</w:t>
      </w:r>
    </w:p>
    <w:p>
      <w:r>
        <w:t>1. The intent label is split before any trainable text transformation. This isolates final testing and fits vocabulary statistics on training text only:</w:t>
      </w:r>
    </w:p>
    <w:p>
      <w:pPr>
        <w:spacing w:after="120"/>
      </w:pPr>
      <w:r>
        <w:rPr>
          <w:rFonts w:ascii="Consolas" w:hAnsi="Consolas"/>
          <w:color w:val="23374B"/>
          <w:sz w:val="16"/>
        </w:rPr>
        <w:t>train_idx, holdout_idx = train_test_split(</w:t>
        <w:br/>
        <w:t xml:space="preserve">    all_indices, test_size=0.30, random_state=SEED, stratify=y</w:t>
        <w:br/>
        <w:t>)</w:t>
        <w:br/>
        <w:t>valid_idx, test_idx = train_test_split(</w:t>
        <w:br/>
        <w:t xml:space="preserve">    holdout_idx, test_size=0.50, random_state=SEED,</w:t>
        <w:br/>
        <w:t xml:space="preserve">    stratify=y[holdout_idx]</w:t>
        <w:br/>
        <w:t>)</w:t>
        <w:br/>
        <w:t>X_train_tfidf = vectorizer.fit_transform(texts[train_idx])</w:t>
        <w:br/>
        <w:t>X_test_tfidf = vectorizer.transform(texts[test_idx])</w:t>
      </w:r>
    </w:p>
    <w:p>
      <w:r>
        <w:t>2. The LSTM processes only each request's real token sequence and maps the final hidden state to intent scores:</w:t>
      </w:r>
    </w:p>
    <w:p>
      <w:pPr>
        <w:spacing w:after="120"/>
      </w:pPr>
      <w:r>
        <w:rPr>
          <w:rFonts w:ascii="Consolas" w:hAnsi="Consolas"/>
          <w:color w:val="23374B"/>
          <w:sz w:val="16"/>
        </w:rPr>
        <w:t>embedded = self.embedding(token_ids)</w:t>
        <w:br/>
        <w:t>packed = pack_padded_sequence(</w:t>
        <w:br/>
        <w:t xml:space="preserve">    embedded, lengths.cpu(), batch_first=True, enforce_sorted=False</w:t>
        <w:br/>
        <w:t>)</w:t>
        <w:br/>
        <w:t>_, (hidden, _) = self.lstm(packed)</w:t>
        <w:br/>
        <w:t>return self.output(self.dropout(hidden[-1]))</w:t>
      </w:r>
    </w:p>
    <w:p>
      <w:pPr>
        <w:pStyle w:val="Heading1"/>
      </w:pPr>
      <w:r>
        <w:t>Comparison and conclusion</w:t>
      </w:r>
    </w:p>
    <w:p>
      <w:r>
        <w:t>The MLP achieved the higher held-out macro F1 (0.9943); the difference between models was 0.0054. Consider precision/recall trade-offs and the per-intent confusion matrices before selecting a routing model. The baseline helps show whether either neural model is useful beyond predicting the most common class.</w:t>
      </w:r>
    </w:p>
    <w:p>
      <w:r>
        <w:t>This result generalizes only to this fixed synthetic dataset split. Template reuse can make random held-out examples easier than truly new customer phrasing. A real queue deployment requires external validation on human-reviewed, representative requests, monitoring, privacy safeguards, and a safe human-escalation path.</w:t>
      </w:r>
    </w:p>
    <w:p>
      <w:pPr>
        <w:pStyle w:val="Heading1"/>
      </w:pPr>
      <w:r>
        <w:t>Reproduction and publication</w:t>
      </w:r>
    </w:p>
    <w:p>
      <w:r>
        <w:t>From the repository root, install the assignment dependencies and launch the notebook:</w:t>
      </w:r>
    </w:p>
    <w:p>
      <w:pPr>
        <w:spacing w:after="120"/>
      </w:pPr>
      <w:r>
        <w:rPr>
          <w:rFonts w:ascii="Consolas" w:hAnsi="Consolas"/>
          <w:color w:val="23374B"/>
          <w:sz w:val="16"/>
        </w:rPr>
        <w:t>python -m pip install -r week6assignment/requirements.txt</w:t>
        <w:br/>
        <w:t>jupyter notebook week6assignment/week6_customer_support_intent_classification.ipynb</w:t>
        <w:br/>
        <w:t>python week6assignment/build_report.py</w:t>
      </w:r>
    </w:p>
    <w:p>
      <w:r>
        <w:t xml:space="preserve">Course repository: </w:t>
      </w:r>
      <w:hyperlink r:id="rId13">
        <w:r>
          <w:rPr>
            <w:color w:val="0563C1"/>
            <w:u w:val="single"/>
          </w:rPr>
          <w:t>BishwadeepRai/Smart-queue-Time-Management-system</w:t>
        </w:r>
      </w:hyperlink>
    </w:p>
    <w:p>
      <w:r>
        <w:t xml:space="preserve">Week 6 notebook permalink: </w:t>
      </w:r>
      <w:hyperlink r:id="rId14">
        <w:r>
          <w:rPr>
            <w:color w:val="0563C1"/>
            <w:u w:val="single"/>
          </w:rPr>
          <w:t>week6_customer_support_intent_classification.ipynb</w:t>
        </w:r>
      </w:hyperlink>
    </w:p>
    <w:p>
      <w:r>
        <w:t>The assignment files must be pushed before the notebook permalink can be submitted as a public GitHub link. Do not add the downloaded data cache to the repository.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52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52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A52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ggingface.co/datasets/bitext/Bitext-customer-support-llm-chatbot-training-dataset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github.com/BishwadeepRai/Smart-queue-Time-Management-system" TargetMode="External"/><Relationship Id="rId14" Type="http://schemas.openxmlformats.org/officeDocument/2006/relationships/hyperlink" Target="https://github.com/BishwadeepRai/Smart-queue-Time-Management-system/blob/main/week6assignment/week6_customer_support_intent_classification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