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75B6"/>
          <w:sz w:val="48"/>
          <w:szCs w:val="48"/>
        </w:rPr>
        <w:t xml:space="preserve">Customer Churn Analysis</w:t>
      </w:r>
    </w:p>
    <w:p>
      <w:pPr>
        <w:spacing w:after="400"/>
        <w:jc w:val="center"/>
      </w:pPr>
      <w:r>
        <w:rPr>
          <w:rFonts w:ascii="Arial" w:cs="Arial" w:eastAsia="Arial" w:hAnsi="Arial"/>
          <w:color w:val="595959"/>
          <w:sz w:val="26"/>
          <w:szCs w:val="26"/>
        </w:rPr>
        <w:t xml:space="preserve">Telecommunications Company — Final Project Report</w:t>
      </w:r>
    </w:p>
    <w:p>
      <w:pPr>
        <w:pStyle w:val="Heading1"/>
        <w:spacing w:before="300" w:after="150"/>
      </w:pPr>
      <w:r>
        <w:rPr>
          <w:rFonts w:ascii="Arial" w:cs="Arial" w:eastAsia="Arial" w:hAnsi="Arial"/>
          <w:b/>
          <w:bCs/>
          <w:sz w:val="32"/>
          <w:szCs w:val="32"/>
        </w:rPr>
        <w:t xml:space="preserve">1. Project Overview</w:t>
      </w:r>
    </w:p>
    <w:p>
      <w:pPr>
        <w:spacing w:after="120"/>
      </w:pPr>
      <w:r>
        <w:rPr>
          <w:rFonts w:ascii="Arial" w:cs="Arial" w:eastAsia="Arial" w:hAnsi="Arial"/>
          <w:sz w:val="22"/>
          <w:szCs w:val="22"/>
        </w:rPr>
        <w:t xml:space="preserve">This report summarizes the key findings from the Customer Churn Analysis project for a telecommunications company. The goal was to analyse customer data, identify the key drivers of churn, segment customers using clustering techniques, and build a predictive model to forecast churn. The insights generated support the development of targeted retention strategies.</w:t>
      </w:r>
    </w:p>
    <w:p>
      <w:pPr>
        <w:pStyle w:val="Heading1"/>
        <w:spacing w:before="300" w:after="150"/>
      </w:pPr>
      <w:r>
        <w:rPr>
          <w:rFonts w:ascii="Arial" w:cs="Arial" w:eastAsia="Arial" w:hAnsi="Arial"/>
          <w:b/>
          <w:bCs/>
          <w:sz w:val="32"/>
          <w:szCs w:val="32"/>
        </w:rPr>
        <w:t xml:space="preserve">2. Data Preparation &amp; Preprocessing</w:t>
      </w:r>
    </w:p>
    <w:p>
      <w:pPr>
        <w:pStyle w:val="Heading2"/>
        <w:spacing w:before="240" w:after="100"/>
      </w:pPr>
      <w:r>
        <w:rPr>
          <w:rFonts w:ascii="Arial" w:cs="Arial" w:eastAsia="Arial" w:hAnsi="Arial"/>
          <w:b/>
          <w:bCs/>
          <w:color w:val="2E75B6"/>
          <w:sz w:val="26"/>
          <w:szCs w:val="26"/>
        </w:rPr>
        <w:t xml:space="preserve">2.1 Dataset Summary</w:t>
      </w:r>
    </w:p>
    <w:p>
      <w:pPr>
        <w:spacing w:after="120"/>
      </w:pPr>
      <w:r>
        <w:rPr>
          <w:rFonts w:ascii="Arial" w:cs="Arial" w:eastAsia="Arial" w:hAnsi="Arial"/>
          <w:sz w:val="22"/>
          <w:szCs w:val="22"/>
        </w:rPr>
        <w:t xml:space="preserve">The original dataset contained 7,043 customer records across 10 features. After a thorough data quality check, the following preprocessing steps were applied:</w:t>
      </w:r>
    </w:p>
    <w:p>
      <w:pPr>
        <w:pStyle w:val="ListParagraph"/>
        <w:numPr>
          <w:ilvl w:val="0"/>
          <w:numId w:val="2"/>
        </w:numPr>
        <w:spacing w:after="80"/>
      </w:pPr>
      <w:r>
        <w:rPr>
          <w:rFonts w:ascii="Arial" w:cs="Arial" w:eastAsia="Arial" w:hAnsi="Arial"/>
          <w:sz w:val="22"/>
          <w:szCs w:val="22"/>
        </w:rPr>
        <w:t xml:space="preserve">No missing values were detected across any column.</w:t>
      </w:r>
    </w:p>
    <w:p>
      <w:pPr>
        <w:pStyle w:val="ListParagraph"/>
        <w:numPr>
          <w:ilvl w:val="0"/>
          <w:numId w:val="2"/>
        </w:numPr>
        <w:spacing w:after="80"/>
      </w:pPr>
      <w:r>
        <w:rPr>
          <w:rFonts w:ascii="Arial" w:cs="Arial" w:eastAsia="Arial" w:hAnsi="Arial"/>
          <w:sz w:val="22"/>
          <w:szCs w:val="22"/>
        </w:rPr>
        <w:t xml:space="preserve">302 duplicate rows were identified and removed, resulting in a final dataset of 6,741 records.</w:t>
      </w:r>
    </w:p>
    <w:p>
      <w:pPr>
        <w:pStyle w:val="ListParagraph"/>
        <w:numPr>
          <w:ilvl w:val="0"/>
          <w:numId w:val="2"/>
        </w:numPr>
        <w:spacing w:after="80"/>
      </w:pPr>
      <w:r>
        <w:rPr>
          <w:rFonts w:ascii="Arial" w:cs="Arial" w:eastAsia="Arial" w:hAnsi="Arial"/>
          <w:sz w:val="22"/>
          <w:szCs w:val="22"/>
        </w:rPr>
        <w:t xml:space="preserve">Binary categorical variables (Dependents, PhoneService, MultipleLines, Churn) were label-encoded as 0/1.</w:t>
      </w:r>
    </w:p>
    <w:p>
      <w:pPr>
        <w:pStyle w:val="ListParagraph"/>
        <w:numPr>
          <w:ilvl w:val="0"/>
          <w:numId w:val="2"/>
        </w:numPr>
        <w:spacing w:after="80"/>
      </w:pPr>
      <w:r>
        <w:rPr>
          <w:rFonts w:ascii="Arial" w:cs="Arial" w:eastAsia="Arial" w:hAnsi="Arial"/>
          <w:sz w:val="22"/>
          <w:szCs w:val="22"/>
        </w:rPr>
        <w:t xml:space="preserve">Gender was encoded as Female = 0, Male = 1.</w:t>
      </w:r>
    </w:p>
    <w:p>
      <w:pPr>
        <w:pStyle w:val="ListParagraph"/>
        <w:numPr>
          <w:ilvl w:val="0"/>
          <w:numId w:val="2"/>
        </w:numPr>
        <w:spacing w:after="80"/>
      </w:pPr>
      <w:r>
        <w:rPr>
          <w:rFonts w:ascii="Arial" w:cs="Arial" w:eastAsia="Arial" w:hAnsi="Arial"/>
          <w:sz w:val="22"/>
          <w:szCs w:val="22"/>
        </w:rPr>
        <w:t xml:space="preserve">Multi-class categorical variables (InternetService, Contract) were one-hot encoded, expanding the dataset to 13 features.</w:t>
      </w:r>
    </w:p>
    <w:p>
      <w:pPr>
        <w:pStyle w:val="ListParagraph"/>
        <w:numPr>
          <w:ilvl w:val="0"/>
          <w:numId w:val="2"/>
        </w:numPr>
        <w:spacing w:after="80"/>
      </w:pPr>
      <w:r>
        <w:rPr>
          <w:rFonts w:ascii="Arial" w:cs="Arial" w:eastAsia="Arial" w:hAnsi="Arial"/>
          <w:sz w:val="22"/>
          <w:szCs w:val="22"/>
        </w:rPr>
        <w:t xml:space="preserve">Continuous numerical features (tenure, MonthlyCharges) were normalised using Min-Max scaling to a range of [0, 1].</w:t>
      </w:r>
    </w:p>
    <w:p>
      <w:pPr>
        <w:spacing w:after="120"/>
      </w:pPr>
    </w:p>
    <w:p>
      <w:pPr>
        <w:pStyle w:val="Heading2"/>
        <w:spacing w:before="240" w:after="100"/>
      </w:pPr>
      <w:r>
        <w:rPr>
          <w:rFonts w:ascii="Arial" w:cs="Arial" w:eastAsia="Arial" w:hAnsi="Arial"/>
          <w:b/>
          <w:bCs/>
          <w:color w:val="2E75B6"/>
          <w:sz w:val="26"/>
          <w:szCs w:val="26"/>
        </w:rPr>
        <w:t xml:space="preserve">2.2 Train/Test Split</w:t>
      </w:r>
    </w:p>
    <w:p>
      <w:pPr>
        <w:spacing w:after="120"/>
      </w:pPr>
      <w:r>
        <w:rPr>
          <w:rFonts w:ascii="Arial" w:cs="Arial" w:eastAsia="Arial" w:hAnsi="Arial"/>
          <w:sz w:val="22"/>
          <w:szCs w:val="22"/>
        </w:rPr>
        <w:t xml:space="preserve">The cleaned dataset was split into training and testing sets using an 80/20 ratio: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Records</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Set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5,392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Set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1,349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6,741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bl>
    <w:p>
      <w:pPr>
        <w:spacing w:after="200"/>
      </w:pPr>
    </w:p>
    <w:p>
      <w:pPr>
        <w:pStyle w:val="Heading1"/>
        <w:spacing w:before="300" w:after="150"/>
      </w:pPr>
      <w:r>
        <w:rPr>
          <w:rFonts w:ascii="Arial" w:cs="Arial" w:eastAsia="Arial" w:hAnsi="Arial"/>
          <w:b/>
          <w:bCs/>
          <w:sz w:val="32"/>
          <w:szCs w:val="32"/>
        </w:rPr>
        <w:t xml:space="preserve">3. Clustering Analysis</w:t>
      </w:r>
    </w:p>
    <w:p>
      <w:pPr>
        <w:pStyle w:val="Heading2"/>
        <w:spacing w:before="240" w:after="100"/>
      </w:pPr>
      <w:r>
        <w:rPr>
          <w:rFonts w:ascii="Arial" w:cs="Arial" w:eastAsia="Arial" w:hAnsi="Arial"/>
          <w:b/>
          <w:bCs/>
          <w:color w:val="2E75B6"/>
          <w:sz w:val="26"/>
          <w:szCs w:val="26"/>
        </w:rPr>
        <w:t xml:space="preserve">3.1 Methodology</w:t>
      </w:r>
    </w:p>
    <w:p>
      <w:pPr>
        <w:spacing w:after="120"/>
      </w:pPr>
      <w:r>
        <w:rPr>
          <w:rFonts w:ascii="Arial" w:cs="Arial" w:eastAsia="Arial" w:hAnsi="Arial"/>
          <w:sz w:val="22"/>
          <w:szCs w:val="22"/>
        </w:rPr>
        <w:t xml:space="preserve">A K-Means clustering algorithm was applied to segment customers into distinct groups based on their service usage patterns and demographics. The optimal number of clusters was determined using the Elbow Method.</w:t>
      </w:r>
    </w:p>
    <w:p>
      <w:pPr>
        <w:pStyle w:val="Heading2"/>
        <w:spacing w:before="240" w:after="100"/>
      </w:pPr>
      <w:r>
        <w:rPr>
          <w:rFonts w:ascii="Arial" w:cs="Arial" w:eastAsia="Arial" w:hAnsi="Arial"/>
          <w:b/>
          <w:bCs/>
          <w:color w:val="2E75B6"/>
          <w:sz w:val="26"/>
          <w:szCs w:val="26"/>
        </w:rPr>
        <w:t xml:space="preserve">3.2 Cluster Results</w:t>
      </w:r>
    </w:p>
    <w:p>
      <w:pPr>
        <w:spacing w:after="120"/>
      </w:pPr>
      <w:r>
        <w:rPr>
          <w:rFonts w:ascii="Arial" w:cs="Arial" w:eastAsia="Arial" w:hAnsi="Arial"/>
          <w:sz w:val="22"/>
          <w:szCs w:val="22"/>
        </w:rPr>
        <w:t xml:space="preserve">The analysis identified four distinct customer clusters. The distribution of customers across clusters is as follows: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Cluster</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Number of Customers</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 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1,885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Largest segment — long-tenure, low-churn customers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1,734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Mid-tenure customers with mixed service adoption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1,621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Short-tenure, high-risk churn segment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Senior or high-value customers on long-term contracts</w:t>
            </w:r>
          </w:p>
        </w:tc>
      </w:tr>
    </w:tbl>
    <w:p>
      <w:pPr>
        <w:spacing w:after="160"/>
      </w:pPr>
    </w:p>
    <w:p>
      <w:pPr>
        <w:spacing w:after="120"/>
      </w:pPr>
      <w:r>
        <w:rPr>
          <w:rFonts w:ascii="Arial" w:cs="Arial" w:eastAsia="Arial" w:hAnsi="Arial"/>
          <w:sz w:val="22"/>
          <w:szCs w:val="22"/>
        </w:rPr>
        <w:t xml:space="preserve">These clusters helped reveal meaningful customer segments with different churn risk profiles, enabling the business to design segment-specific retention strategies.</w:t>
      </w:r>
    </w:p>
    <w:p>
      <w:pPr>
        <w:pStyle w:val="Heading1"/>
        <w:spacing w:before="300" w:after="150"/>
      </w:pPr>
      <w:r>
        <w:rPr>
          <w:rFonts w:ascii="Arial" w:cs="Arial" w:eastAsia="Arial" w:hAnsi="Arial"/>
          <w:b/>
          <w:bCs/>
          <w:sz w:val="32"/>
          <w:szCs w:val="32"/>
        </w:rPr>
        <w:t xml:space="preserve">4. Predictive Modeling — Artificial Neural Network (ANN)</w:t>
      </w:r>
    </w:p>
    <w:p>
      <w:pPr>
        <w:pStyle w:val="Heading2"/>
        <w:spacing w:before="240" w:after="100"/>
      </w:pPr>
      <w:r>
        <w:rPr>
          <w:rFonts w:ascii="Arial" w:cs="Arial" w:eastAsia="Arial" w:hAnsi="Arial"/>
          <w:b/>
          <w:bCs/>
          <w:color w:val="2E75B6"/>
          <w:sz w:val="26"/>
          <w:szCs w:val="26"/>
        </w:rPr>
        <w:t xml:space="preserve">4.1 Model Architecture</w:t>
      </w:r>
    </w:p>
    <w:p>
      <w:pPr>
        <w:spacing w:after="120"/>
      </w:pPr>
      <w:r>
        <w:rPr>
          <w:rFonts w:ascii="Arial" w:cs="Arial" w:eastAsia="Arial" w:hAnsi="Arial"/>
          <w:sz w:val="22"/>
          <w:szCs w:val="22"/>
        </w:rPr>
        <w:t xml:space="preserve">An Artificial Neural Network (ANN) was designed and trained to predict customer churn. The model architecture consisted of an input layer with 13 features, two hidden layers with ReLU activation functions, and an output layer with a sigmoid activation function for binary classification.</w:t>
      </w:r>
    </w:p>
    <w:p>
      <w:pPr>
        <w:pStyle w:val="Heading2"/>
        <w:spacing w:before="240" w:after="100"/>
      </w:pPr>
      <w:r>
        <w:rPr>
          <w:rFonts w:ascii="Arial" w:cs="Arial" w:eastAsia="Arial" w:hAnsi="Arial"/>
          <w:b/>
          <w:bCs/>
          <w:color w:val="2E75B6"/>
          <w:sz w:val="26"/>
          <w:szCs w:val="26"/>
        </w:rPr>
        <w:t xml:space="preserve">4.2 Model Performance</w:t>
      </w:r>
    </w:p>
    <w:p>
      <w:pPr>
        <w:spacing w:after="120"/>
      </w:pPr>
      <w:r>
        <w:rPr>
          <w:rFonts w:ascii="Arial" w:cs="Arial" w:eastAsia="Arial" w:hAnsi="Arial"/>
          <w:sz w:val="22"/>
          <w:szCs w:val="22"/>
        </w:rPr>
        <w:t xml:space="preserve">The ANN model was evaluated on the held-out test set. The key performance metrics are summarised below: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Correctly classified 77% of customers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ROC-AUC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~0.79</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discriminative ability between churn/no-churn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 predicted churners, 74% actually churned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Recall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identified 71% of actual churners</w:t>
            </w:r>
          </w:p>
        </w:tc>
      </w:tr>
    </w:tbl>
    <w:p>
      <w:pPr>
        <w:spacing w:after="160"/>
      </w:pPr>
    </w:p>
    <w:p>
      <w:pPr>
        <w:spacing w:after="120"/>
      </w:pPr>
      <w:r>
        <w:rPr>
          <w:rFonts w:ascii="Arial" w:cs="Arial" w:eastAsia="Arial" w:hAnsi="Arial"/>
          <w:sz w:val="22"/>
          <w:szCs w:val="22"/>
        </w:rPr>
        <w:t xml:space="preserve">An ROC-AUC of 0.79 indicates reasonably strong predictive performance. The model successfully identifies a majority of high-risk customers, enabling proactive intervention before churn occurs.</w:t>
      </w:r>
    </w:p>
    <w:p>
      <w:pPr>
        <w:pStyle w:val="Heading1"/>
        <w:spacing w:before="300" w:after="150"/>
      </w:pPr>
      <w:r>
        <w:rPr>
          <w:rFonts w:ascii="Arial" w:cs="Arial" w:eastAsia="Arial" w:hAnsi="Arial"/>
          <w:b/>
          <w:bCs/>
          <w:sz w:val="32"/>
          <w:szCs w:val="32"/>
        </w:rPr>
        <w:t xml:space="preserve">5. Key Findings</w:t>
      </w:r>
    </w:p>
    <w:p>
      <w:pPr>
        <w:spacing w:after="120"/>
      </w:pPr>
      <w:r>
        <w:rPr>
          <w:rFonts w:ascii="Arial" w:cs="Arial" w:eastAsia="Arial" w:hAnsi="Arial"/>
          <w:sz w:val="22"/>
          <w:szCs w:val="22"/>
        </w:rPr>
        <w:t xml:space="preserve">The combined analysis across all stages revealed the following key insights:</w:t>
      </w:r>
    </w:p>
    <w:p>
      <w:pPr>
        <w:pStyle w:val="ListParagraph"/>
        <w:numPr>
          <w:ilvl w:val="0"/>
          <w:numId w:val="2"/>
        </w:numPr>
        <w:spacing w:after="80"/>
      </w:pPr>
      <w:r>
        <w:rPr>
          <w:rFonts w:ascii="Arial" w:cs="Arial" w:eastAsia="Arial" w:hAnsi="Arial"/>
          <w:sz w:val="22"/>
          <w:szCs w:val="22"/>
        </w:rPr>
        <w:t xml:space="preserve">Month-to-month contract customers exhibit the highest churn rates, significantly more than customers on one- or two-year contracts.</w:t>
      </w:r>
    </w:p>
    <w:p>
      <w:pPr>
        <w:pStyle w:val="ListParagraph"/>
        <w:numPr>
          <w:ilvl w:val="0"/>
          <w:numId w:val="2"/>
        </w:numPr>
        <w:spacing w:after="80"/>
      </w:pPr>
      <w:r>
        <w:rPr>
          <w:rFonts w:ascii="Arial" w:cs="Arial" w:eastAsia="Arial" w:hAnsi="Arial"/>
          <w:sz w:val="22"/>
          <w:szCs w:val="22"/>
        </w:rPr>
        <w:t xml:space="preserve">Customers with short tenure (low normalised tenure values) are at considerably higher risk of churning.</w:t>
      </w:r>
    </w:p>
    <w:p>
      <w:pPr>
        <w:pStyle w:val="ListParagraph"/>
        <w:numPr>
          <w:ilvl w:val="0"/>
          <w:numId w:val="2"/>
        </w:numPr>
        <w:spacing w:after="80"/>
      </w:pPr>
      <w:r>
        <w:rPr>
          <w:rFonts w:ascii="Arial" w:cs="Arial" w:eastAsia="Arial" w:hAnsi="Arial"/>
          <w:sz w:val="22"/>
          <w:szCs w:val="22"/>
        </w:rPr>
        <w:t xml:space="preserve">Fiber optic internet users show higher churn propensity compared to DSL users, possibly due to higher monthly charges.</w:t>
      </w:r>
    </w:p>
    <w:p>
      <w:pPr>
        <w:pStyle w:val="ListParagraph"/>
        <w:numPr>
          <w:ilvl w:val="0"/>
          <w:numId w:val="2"/>
        </w:numPr>
        <w:spacing w:after="80"/>
      </w:pPr>
      <w:r>
        <w:rPr>
          <w:rFonts w:ascii="Arial" w:cs="Arial" w:eastAsia="Arial" w:hAnsi="Arial"/>
          <w:sz w:val="22"/>
          <w:szCs w:val="22"/>
        </w:rPr>
        <w:t xml:space="preserve">Senior citizens and customers without dependents tend to churn at higher rates.</w:t>
      </w:r>
    </w:p>
    <w:p>
      <w:pPr>
        <w:pStyle w:val="ListParagraph"/>
        <w:numPr>
          <w:ilvl w:val="0"/>
          <w:numId w:val="2"/>
        </w:numPr>
        <w:spacing w:after="80"/>
      </w:pPr>
      <w:r>
        <w:rPr>
          <w:rFonts w:ascii="Arial" w:cs="Arial" w:eastAsia="Arial" w:hAnsi="Arial"/>
          <w:sz w:val="22"/>
          <w:szCs w:val="22"/>
        </w:rPr>
        <w:t xml:space="preserve">High monthly charges combined with short tenure are strong predictors of imminent churn.</w:t>
      </w:r>
    </w:p>
    <w:p>
      <w:pPr>
        <w:pStyle w:val="Heading1"/>
        <w:spacing w:before="300" w:after="150"/>
      </w:pPr>
      <w:r>
        <w:rPr>
          <w:rFonts w:ascii="Arial" w:cs="Arial" w:eastAsia="Arial" w:hAnsi="Arial"/>
          <w:b/>
          <w:bCs/>
          <w:sz w:val="32"/>
          <w:szCs w:val="32"/>
        </w:rPr>
        <w:t xml:space="preserve">6. Retention Strategy Recommendations</w:t>
      </w:r>
    </w:p>
    <w:p>
      <w:pPr>
        <w:spacing w:after="120"/>
      </w:pPr>
      <w:r>
        <w:rPr>
          <w:rFonts w:ascii="Arial" w:cs="Arial" w:eastAsia="Arial" w:hAnsi="Arial"/>
          <w:sz w:val="22"/>
          <w:szCs w:val="22"/>
        </w:rPr>
        <w:t xml:space="preserve">Based on the findings, the following targeted retention strategies are recommended:</w:t>
      </w:r>
    </w:p>
    <w:p>
      <w:pPr>
        <w:pStyle w:val="ListParagraph"/>
        <w:numPr>
          <w:ilvl w:val="0"/>
          <w:numId w:val="2"/>
        </w:numPr>
        <w:spacing w:after="80"/>
      </w:pPr>
      <w:r>
        <w:rPr>
          <w:rFonts w:ascii="Arial" w:cs="Arial" w:eastAsia="Arial" w:hAnsi="Arial"/>
          <w:sz w:val="22"/>
          <w:szCs w:val="22"/>
        </w:rPr>
        <w:t xml:space="preserve">Offer incentives to month-to-month customers to upgrade to annual or two-year contracts.</w:t>
      </w:r>
    </w:p>
    <w:p>
      <w:pPr>
        <w:pStyle w:val="ListParagraph"/>
        <w:numPr>
          <w:ilvl w:val="0"/>
          <w:numId w:val="2"/>
        </w:numPr>
        <w:spacing w:after="80"/>
      </w:pPr>
      <w:r>
        <w:rPr>
          <w:rFonts w:ascii="Arial" w:cs="Arial" w:eastAsia="Arial" w:hAnsi="Arial"/>
          <w:sz w:val="22"/>
          <w:szCs w:val="22"/>
        </w:rPr>
        <w:t xml:space="preserve">Implement early-intervention programs for new customers in their first 6 months (short tenure).</w:t>
      </w:r>
    </w:p>
    <w:p>
      <w:pPr>
        <w:pStyle w:val="ListParagraph"/>
        <w:numPr>
          <w:ilvl w:val="0"/>
          <w:numId w:val="2"/>
        </w:numPr>
        <w:spacing w:after="80"/>
      </w:pPr>
      <w:r>
        <w:rPr>
          <w:rFonts w:ascii="Arial" w:cs="Arial" w:eastAsia="Arial" w:hAnsi="Arial"/>
          <w:sz w:val="22"/>
          <w:szCs w:val="22"/>
        </w:rPr>
        <w:t xml:space="preserve">Review pricing structures for fiber optic services to improve perceived value.</w:t>
      </w:r>
    </w:p>
    <w:p>
      <w:pPr>
        <w:pStyle w:val="ListParagraph"/>
        <w:numPr>
          <w:ilvl w:val="0"/>
          <w:numId w:val="2"/>
        </w:numPr>
        <w:spacing w:after="80"/>
      </w:pPr>
      <w:r>
        <w:rPr>
          <w:rFonts w:ascii="Arial" w:cs="Arial" w:eastAsia="Arial" w:hAnsi="Arial"/>
          <w:sz w:val="22"/>
          <w:szCs w:val="22"/>
        </w:rPr>
        <w:t xml:space="preserve">Design loyalty programs targeting senior customers and single-person households.</w:t>
      </w:r>
    </w:p>
    <w:p>
      <w:pPr>
        <w:pStyle w:val="ListParagraph"/>
        <w:numPr>
          <w:ilvl w:val="0"/>
          <w:numId w:val="2"/>
        </w:numPr>
        <w:spacing w:after="80"/>
      </w:pPr>
      <w:r>
        <w:rPr>
          <w:rFonts w:ascii="Arial" w:cs="Arial" w:eastAsia="Arial" w:hAnsi="Arial"/>
          <w:sz w:val="22"/>
          <w:szCs w:val="22"/>
        </w:rPr>
        <w:t xml:space="preserve">Use the ANN model to score existing customers monthly, prioritising outreach for those with the highest churn probability.</w:t>
      </w:r>
    </w:p>
    <w:p>
      <w:pPr>
        <w:pStyle w:val="Heading1"/>
        <w:spacing w:before="300" w:after="150"/>
      </w:pPr>
      <w:r>
        <w:rPr>
          <w:rFonts w:ascii="Arial" w:cs="Arial" w:eastAsia="Arial" w:hAnsi="Arial"/>
          <w:b/>
          <w:bCs/>
          <w:sz w:val="32"/>
          <w:szCs w:val="32"/>
        </w:rPr>
        <w:t xml:space="preserve">7. Limitations &amp; Future Work</w:t>
      </w:r>
    </w:p>
    <w:p>
      <w:pPr>
        <w:pStyle w:val="ListParagraph"/>
        <w:numPr>
          <w:ilvl w:val="0"/>
          <w:numId w:val="2"/>
        </w:numPr>
        <w:spacing w:after="80"/>
      </w:pPr>
      <w:r>
        <w:rPr>
          <w:rFonts w:ascii="Arial" w:cs="Arial" w:eastAsia="Arial" w:hAnsi="Arial"/>
          <w:sz w:val="22"/>
          <w:szCs w:val="22"/>
        </w:rPr>
        <w:t xml:space="preserve">The dataset lacks information on customer complaints, competitor offers, and support interactions, which may improve model performance.</w:t>
      </w:r>
    </w:p>
    <w:p>
      <w:pPr>
        <w:pStyle w:val="ListParagraph"/>
        <w:numPr>
          <w:ilvl w:val="0"/>
          <w:numId w:val="2"/>
        </w:numPr>
        <w:spacing w:after="80"/>
      </w:pPr>
      <w:r>
        <w:rPr>
          <w:rFonts w:ascii="Arial" w:cs="Arial" w:eastAsia="Arial" w:hAnsi="Arial"/>
          <w:sz w:val="22"/>
          <w:szCs w:val="22"/>
        </w:rPr>
        <w:t xml:space="preserve">The ANN model achieved ~77% accuracy; ensemble methods such as XGBoost or Random Forest could be explored for higher performance.</w:t>
      </w:r>
    </w:p>
    <w:p>
      <w:pPr>
        <w:pStyle w:val="ListParagraph"/>
        <w:numPr>
          <w:ilvl w:val="0"/>
          <w:numId w:val="2"/>
        </w:numPr>
        <w:spacing w:after="80"/>
      </w:pPr>
      <w:r>
        <w:rPr>
          <w:rFonts w:ascii="Arial" w:cs="Arial" w:eastAsia="Arial" w:hAnsi="Arial"/>
          <w:sz w:val="22"/>
          <w:szCs w:val="22"/>
        </w:rPr>
        <w:t xml:space="preserve">Future work could include real-time churn scoring integrated into the company's CRM system.</w:t>
      </w:r>
    </w:p>
    <w:p>
      <w:pPr>
        <w:pStyle w:val="ListParagraph"/>
        <w:numPr>
          <w:ilvl w:val="0"/>
          <w:numId w:val="2"/>
        </w:numPr>
        <w:spacing w:after="80"/>
      </w:pPr>
      <w:r>
        <w:rPr>
          <w:rFonts w:ascii="Arial" w:cs="Arial" w:eastAsia="Arial" w:hAnsi="Arial"/>
          <w:sz w:val="22"/>
          <w:szCs w:val="22"/>
        </w:rPr>
        <w:t xml:space="preserve">Cluster labels should be validated with domain experts to ensure business relevance.</w:t>
      </w:r>
    </w:p>
    <w:p>
      <w:pPr>
        <w:spacing w:before="400"/>
      </w:pPr>
    </w:p>
    <w:p>
      <w:pPr>
        <w:pBdr>
          <w:top w:val="single" w:color="CCCCCC" w:sz="4"/>
        </w:pBdr>
        <w:spacing w:before="160"/>
        <w:jc w:val="center"/>
      </w:pPr>
      <w:r>
        <w:rPr>
          <w:rFonts w:ascii="Arial" w:cs="Arial" w:eastAsia="Arial" w:hAnsi="Arial"/>
          <w:color w:val="888888"/>
          <w:sz w:val="18"/>
          <w:szCs w:val="18"/>
        </w:rPr>
        <w:t xml:space="preserve">Customer Churn Analysis Project  |  Telecommunications Company  |  Data Analytics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2026-03-22T14:40:20.664Z</dcterms:created>
  <dcterms:modified xsi:type="dcterms:W3CDTF">2026-03-22T14:40:20.664Z</dcterms:modified>
</cp:coreProperties>
</file>

<file path=docProps/custom.xml><?xml version="1.0" encoding="utf-8"?>
<Properties xmlns="http://schemas.openxmlformats.org/officeDocument/2006/custom-properties" xmlns:vt="http://schemas.openxmlformats.org/officeDocument/2006/docPropsVTypes"/>
</file>