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6" w:space="4"/>
        </w:pBdr>
        <w:spacing w:after="120" w:before="280"/>
      </w:pPr>
      <w:r>
        <w:rPr>
          <w:rFonts w:ascii="Arial" w:cs="Arial" w:eastAsia="Arial" w:hAnsi="Arial"/>
          <w:b/>
          <w:bCs/>
          <w:color w:val="1F3864"/>
          <w:sz w:val="36"/>
          <w:szCs w:val="36"/>
        </w:rPr>
        <w:t xml:space="preserve">6.3  End-to-End (E2E) Testing</w:t>
      </w:r>
    </w:p>
    <w:p>
      <w:pPr>
        <w:spacing w:after="60" w:before="60"/>
        <w:jc w:val="both"/>
      </w:pPr>
      <w:r>
        <w:rPr>
          <w:rFonts w:ascii="Arial" w:cs="Arial" w:eastAsia="Arial" w:hAnsi="Arial"/>
          <w:sz w:val="22"/>
          <w:szCs w:val="22"/>
        </w:rPr>
        <w:t xml:space="preserve">End-to-end (E2E) testing validates the complete user experience by simulating real browser interactions against the running application. Unlike unit or integration tests, E2E tests operate at the UI layer, clicking buttons, filling forms, and asserting what the user actually sees. This ensures that all layers of the system — React components, routing, API calls, and state management — work together correctly in a production-like environment.</w:t>
      </w:r>
    </w:p>
    <w:p>
      <w:pPr>
        <w:spacing w:after="0" w:before="60"/>
      </w:pPr>
    </w:p>
    <w:p>
      <w:pPr>
        <w:spacing w:after="60" w:before="60"/>
        <w:jc w:val="both"/>
      </w:pPr>
      <w:r>
        <w:rPr>
          <w:rFonts w:ascii="Arial" w:cs="Arial" w:eastAsia="Arial" w:hAnsi="Arial"/>
          <w:sz w:val="22"/>
          <w:szCs w:val="22"/>
        </w:rPr>
        <w:t xml:space="preserve">For BloodConnect, Playwright was selected as the E2E testing framework because of its first-class support for modern JavaScript applications, built-in auto-waiting for DOM elements, and reliable headless Chromium execution. Playwright automatically waits for elements to be actionable before interacting with them, which eliminates the brittle timing issues common in older Selenium-based suites.</w:t>
      </w:r>
    </w:p>
    <w:p>
      <w:pPr>
        <w:spacing w:after="0" w:before="80"/>
      </w:pPr>
    </w:p>
    <w:p>
      <w:pPr>
        <w:pStyle w:val="Heading2"/>
        <w:spacing w:after="80" w:before="200"/>
      </w:pPr>
      <w:r>
        <w:rPr>
          <w:rFonts w:ascii="Arial" w:cs="Arial" w:eastAsia="Arial" w:hAnsi="Arial"/>
          <w:b/>
          <w:bCs/>
          <w:color w:val="2E75B6"/>
          <w:sz w:val="28"/>
          <w:szCs w:val="28"/>
        </w:rPr>
        <w:t xml:space="preserve">6.3.1  Tools and Environment</w:t>
      </w:r>
    </w:p>
    <w:p>
      <w:pPr>
        <w:spacing w:after="60" w:before="60"/>
        <w:jc w:val="both"/>
      </w:pPr>
      <w:r>
        <w:rPr>
          <w:rFonts w:ascii="Arial" w:cs="Arial" w:eastAsia="Arial" w:hAnsi="Arial"/>
          <w:sz w:val="22"/>
          <w:szCs w:val="22"/>
        </w:rPr>
        <w:t xml:space="preserve">The E2E test suite lives inside the frontend directory and runs against the Vite development server on port 5173. The setup requires two terminal windows: one to run the frontend dev server (npm run dev) and one to execute Playwright tests (npx playwright test). All tests run in headless Chromium, meaning no browser window opens during execution.</w:t>
      </w:r>
    </w:p>
    <w:p>
      <w:pPr>
        <w:spacing w:after="0" w:before="60"/>
      </w:pPr>
    </w:p>
    <w:p>
      <w:pPr>
        <w:spacing w:after="60" w:before="60"/>
        <w:jc w:val="both"/>
      </w:pPr>
      <w:r>
        <w:rPr>
          <w:rFonts w:ascii="Arial" w:cs="Arial" w:eastAsia="Arial" w:hAnsi="Arial"/>
          <w:sz w:val="22"/>
          <w:szCs w:val="22"/>
        </w:rPr>
        <w:t xml:space="preserve">Table 6.13 below lists the configuration used for all E2E tests.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 6.13 — E2E Test Environment Configuration</w:t>
            </w:r>
          </w:p>
        </w:tc>
      </w:tr>
      <w:tr>
        <w:tc>
          <w:tcPr>
            <w:tcW w:type="dxa" w:w="3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Parameter</w:t>
            </w:r>
          </w:p>
        </w:tc>
        <w:tc>
          <w:tcPr>
            <w:tcW w:type="dxa" w:w="5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Details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Testing Framework</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Playwright v1.x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Browser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Chromium (headless mode)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Base URL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http://localhost:5173 (Vite dev server)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Frontend Stack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React 18, React Router v6, Tailwind CSS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Test Runner Command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npx playwright test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Config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frontend/playwright.config.js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Screenshot on Fail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Enabled (screenshot: 'only-on-failure')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Trace on Fail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Enabled (trace: 'retain-on-failure')</w:t>
            </w:r>
          </w:p>
        </w:tc>
      </w:tr>
    </w:tbl>
    <w:p>
      <w:pPr>
        <w:spacing w:after="120" w:before="60"/>
        <w:jc w:val="center"/>
      </w:pPr>
      <w:r>
        <w:rPr>
          <w:rFonts w:ascii="Arial" w:cs="Arial" w:eastAsia="Arial" w:hAnsi="Arial"/>
          <w:i/>
          <w:iCs/>
          <w:color w:val="555555"/>
          <w:sz w:val="20"/>
          <w:szCs w:val="20"/>
        </w:rPr>
        <w:t xml:space="preserve">Table 6.13 — E2E Test Environment Configuration</w:t>
      </w:r>
    </w:p>
    <w:p>
      <w:pPr>
        <w:spacing w:after="0" w:before="120"/>
      </w:pPr>
    </w:p>
    <w:p>
      <w:pPr>
        <w:pStyle w:val="Heading2"/>
        <w:spacing w:after="80" w:before="200"/>
      </w:pPr>
      <w:r>
        <w:rPr>
          <w:rFonts w:ascii="Arial" w:cs="Arial" w:eastAsia="Arial" w:hAnsi="Arial"/>
          <w:b/>
          <w:bCs/>
          <w:color w:val="2E75B6"/>
          <w:sz w:val="28"/>
          <w:szCs w:val="28"/>
        </w:rPr>
        <w:t xml:space="preserve">6.3.2  Test Suite Overview</w:t>
      </w:r>
    </w:p>
    <w:p>
      <w:pPr>
        <w:spacing w:after="60" w:before="60"/>
        <w:jc w:val="both"/>
      </w:pPr>
      <w:r>
        <w:rPr>
          <w:rFonts w:ascii="Arial" w:cs="Arial" w:eastAsia="Arial" w:hAnsi="Arial"/>
          <w:sz w:val="22"/>
          <w:szCs w:val="22"/>
        </w:rPr>
        <w:t xml:space="preserve">Five E2E test suites were created, each targeting a publicly accessible page of the BloodConnect frontend. The suites cover the home page, the login form, the registration flow, the donor search feature, and the forgot-password workflow. Protected routes (dashboard, blood request form) are not covered at this stage because they require valid session tokens; they will be addressed in future iterations once mock-login helpers are implemented.</w:t>
      </w:r>
    </w:p>
    <w:p>
      <w:pPr>
        <w:spacing w:after="0" w:before="60"/>
      </w:pPr>
    </w:p>
    <w:p>
      <w:pPr>
        <w:spacing w:after="60" w:before="60"/>
        <w:jc w:val="both"/>
      </w:pPr>
      <w:r>
        <w:rPr>
          <w:rFonts w:ascii="Arial" w:cs="Arial" w:eastAsia="Arial" w:hAnsi="Arial"/>
          <w:sz w:val="22"/>
          <w:szCs w:val="22"/>
        </w:rPr>
        <w:t xml:space="preserve">Table 6.14 summarises all five suites and their overall results.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00"/>
        <w:gridCol w:w="1200"/>
        <w:gridCol w:w="1160"/>
      </w:tblGrid>
      <w:tr>
        <w:tc>
          <w:tcPr>
            <w:tcW w:type="dxa" w:w="9360"/>
            <w:gridSpan w:val="5"/>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 6.14 — E2E Test Suite Overview</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Suite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 File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Scenario Tested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Tests</w:t>
            </w:r>
          </w:p>
        </w:tc>
        <w:tc>
          <w:tcPr>
            <w:tcW w:type="dxa" w:w="1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Result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test1_homepage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Home page loads; navbar visible; Login link navigates to /login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W w:type="dxa" w:w="11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test2_login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Login page form fields; empty submit stays on page; wrong credentials show error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W w:type="dxa" w:w="11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test3_register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Register page fields (username, email, password, blood group); link to login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W w:type="dxa" w:w="11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test4_searchDonors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Search page loads; filter visible; O+ search does not crash; body not blank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W w:type="dxa" w:w="11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test5_forgotPassword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Forgot-password page loads; email field; back-to-login link visible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W w:type="dxa" w:w="11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bl>
    <w:p>
      <w:pPr>
        <w:spacing w:after="120" w:before="60"/>
        <w:jc w:val="center"/>
      </w:pPr>
      <w:r>
        <w:rPr>
          <w:rFonts w:ascii="Arial" w:cs="Arial" w:eastAsia="Arial" w:hAnsi="Arial"/>
          <w:i/>
          <w:iCs/>
          <w:color w:val="555555"/>
          <w:sz w:val="20"/>
          <w:szCs w:val="20"/>
        </w:rPr>
        <w:t xml:space="preserve">Table 6.14 — E2E Test Suite Overview</w:t>
      </w:r>
    </w:p>
    <w:p>
      <w:pPr>
        <w:spacing w:after="0" w:before="120"/>
      </w:pPr>
    </w:p>
    <w:p>
      <w:pPr>
        <w:pStyle w:val="Heading2"/>
        <w:spacing w:after="80" w:before="200"/>
      </w:pPr>
      <w:r>
        <w:rPr>
          <w:rFonts w:ascii="Arial" w:cs="Arial" w:eastAsia="Arial" w:hAnsi="Arial"/>
          <w:b/>
          <w:bCs/>
          <w:color w:val="2E75B6"/>
          <w:sz w:val="28"/>
          <w:szCs w:val="28"/>
        </w:rPr>
        <w:t xml:space="preserve">6.3.3  Detailed E2E Test Results</w:t>
      </w:r>
    </w:p>
    <w:p>
      <w:pPr>
        <w:spacing w:after="0" w:before="80"/>
      </w:pPr>
    </w:p>
    <w:p>
      <w:pPr>
        <w:pStyle w:val="Heading3"/>
        <w:spacing w:after="60" w:before="160"/>
      </w:pPr>
      <w:r>
        <w:rPr>
          <w:rFonts w:ascii="Arial" w:cs="Arial" w:eastAsia="Arial" w:hAnsi="Arial"/>
          <w:b/>
          <w:bCs/>
          <w:color w:val="1F3864"/>
          <w:sz w:val="24"/>
          <w:szCs w:val="24"/>
        </w:rPr>
        <w:t xml:space="preserve">Suite 1 — Home Page (test1_homepage.spec.js)</w:t>
      </w:r>
    </w:p>
    <w:p>
      <w:pPr>
        <w:spacing w:after="60" w:before="60"/>
        <w:jc w:val="both"/>
      </w:pPr>
      <w:r>
        <w:rPr>
          <w:rFonts w:ascii="Arial" w:cs="Arial" w:eastAsia="Arial" w:hAnsi="Arial"/>
          <w:sz w:val="22"/>
          <w:szCs w:val="22"/>
        </w:rPr>
        <w:t xml:space="preserve">The home page is the first page any visitor sees. These five tests confirm that the page loads successfully, the document title identifies the application, the navigation bar is present, the Login link is visible, and that clicking it correctly routes the browser to /login.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060"/>
        <w:gridCol w:w="2400"/>
        <w:gridCol w:w="1200"/>
      </w:tblGrid>
      <w:tr>
        <w:tc>
          <w:tcPr>
            <w:tcW w:type="dxa" w:w="9360"/>
            <w:gridSpan w:val="5"/>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 6.15 — E2E Tests — Home Page (test1_homepage.spec.js)</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 #</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 Name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Action / Assertion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Expected Result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Outcome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T1-1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Page loads with 200</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Navigate to /; check response.status()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HTTP status 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Title contains BloodConnect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page.title() converted to lower-case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Title includes 'bloodconnect'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T1-3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Navbar is visible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Locate nav or header element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Navbar element is visible in DOM</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Login link present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getByRole('link', { name: /login/i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Login link is visible in navigation bar</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Login link navigates to /login</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Click Login link; assert URL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Browser URL matches /login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bl>
    <w:p>
      <w:pPr>
        <w:spacing w:after="120" w:before="60"/>
        <w:jc w:val="center"/>
      </w:pPr>
      <w:r>
        <w:rPr>
          <w:rFonts w:ascii="Arial" w:cs="Arial" w:eastAsia="Arial" w:hAnsi="Arial"/>
          <w:i/>
          <w:iCs/>
          <w:color w:val="555555"/>
          <w:sz w:val="20"/>
          <w:szCs w:val="20"/>
        </w:rPr>
        <w:t xml:space="preserve">Table 6.15 — Detailed E2E Results: Home Page</w:t>
      </w:r>
    </w:p>
    <w:p>
      <w:pPr>
        <w:spacing w:after="0" w:before="120"/>
      </w:pPr>
    </w:p>
    <w:p>
      <w:pPr>
        <w:pStyle w:val="Heading3"/>
        <w:spacing w:after="60" w:before="160"/>
      </w:pPr>
      <w:r>
        <w:rPr>
          <w:rFonts w:ascii="Arial" w:cs="Arial" w:eastAsia="Arial" w:hAnsi="Arial"/>
          <w:b/>
          <w:bCs/>
          <w:color w:val="1F3864"/>
          <w:sz w:val="24"/>
          <w:szCs w:val="24"/>
        </w:rPr>
        <w:t xml:space="preserve">Suite 2 — Login Page (test2_login.spec.js)</w:t>
      </w:r>
    </w:p>
    <w:p>
      <w:pPr>
        <w:spacing w:after="60" w:before="60"/>
        <w:jc w:val="both"/>
      </w:pPr>
      <w:r>
        <w:rPr>
          <w:rFonts w:ascii="Arial" w:cs="Arial" w:eastAsia="Arial" w:hAnsi="Arial"/>
          <w:sz w:val="22"/>
          <w:szCs w:val="22"/>
        </w:rPr>
        <w:t xml:space="preserve">The login page is a critical security entry point. Tests verify that the form renders all required fields, that submitting without credentials does not navigate away (HTML5 required-attribute validation), and that sending incorrect credentials displays a user-facing error message without crashing the application.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060"/>
        <w:gridCol w:w="2400"/>
        <w:gridCol w:w="1200"/>
      </w:tblGrid>
      <w:tr>
        <w:tc>
          <w:tcPr>
            <w:tcW w:type="dxa" w:w="9360"/>
            <w:gridSpan w:val="5"/>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 6.16 — E2E Tests — Login Page (test2_login.spec.js)</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 #</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 Name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Action / Assertion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Expected Result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Outcome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T2-1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Login page loads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Navigate to /login; check response.status()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HTTP status 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Email &amp; password fields visible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Locate input[type=email] and input[type=password]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Both fields are visible on the page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T2-3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Submit button present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getByRole('button', { name: /login|sign in/i })</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Button is visible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Empty form stays on /login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Click submit without filling 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URL still matches /login (validation fires)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Wrong credentials show error</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Fill wrong email+password; click submit; wait 2s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Error message visible; URL stays /login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bl>
    <w:p>
      <w:pPr>
        <w:spacing w:after="120" w:before="60"/>
        <w:jc w:val="center"/>
      </w:pPr>
      <w:r>
        <w:rPr>
          <w:rFonts w:ascii="Arial" w:cs="Arial" w:eastAsia="Arial" w:hAnsi="Arial"/>
          <w:i/>
          <w:iCs/>
          <w:color w:val="555555"/>
          <w:sz w:val="20"/>
          <w:szCs w:val="20"/>
        </w:rPr>
        <w:t xml:space="preserve">Table 6.16 — Detailed E2E Results: Login Page</w:t>
      </w:r>
    </w:p>
    <w:p>
      <w:pPr>
        <w:spacing w:after="0" w:before="120"/>
      </w:pPr>
    </w:p>
    <w:p>
      <w:pPr>
        <w:pStyle w:val="Heading3"/>
        <w:spacing w:after="60" w:before="160"/>
      </w:pPr>
      <w:r>
        <w:rPr>
          <w:rFonts w:ascii="Arial" w:cs="Arial" w:eastAsia="Arial" w:hAnsi="Arial"/>
          <w:b/>
          <w:bCs/>
          <w:color w:val="1F3864"/>
          <w:sz w:val="24"/>
          <w:szCs w:val="24"/>
        </w:rPr>
        <w:t xml:space="preserve">Suite 3 — Register Page (test3_register.spec.js)</w:t>
      </w:r>
    </w:p>
    <w:p>
      <w:pPr>
        <w:spacing w:after="60" w:before="60"/>
        <w:jc w:val="both"/>
      </w:pPr>
      <w:r>
        <w:rPr>
          <w:rFonts w:ascii="Arial" w:cs="Arial" w:eastAsia="Arial" w:hAnsi="Arial"/>
          <w:sz w:val="22"/>
          <w:szCs w:val="22"/>
        </w:rPr>
        <w:t xml:space="preserve">The registration form collects the user's name, email, password, and blood group. These tests confirm that all four input controls are rendered, and that the 'Already have an account?' navigation link correctly sends returning users to the login page.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060"/>
        <w:gridCol w:w="2400"/>
        <w:gridCol w:w="1200"/>
      </w:tblGrid>
      <w:tr>
        <w:tc>
          <w:tcPr>
            <w:tcW w:type="dxa" w:w="9360"/>
            <w:gridSpan w:val="5"/>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 6.17 — E2E Tests — Register Page (test3_register.spec.js)</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 #</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 Name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Action / Assertion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Expected Result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Outcome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T3-1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Register page loads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Navigate to /register; check response.status()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HTTP status 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Username &amp; email fields visible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Locate username and email inputs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Both fields are visible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T3-3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Password field visible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Locate input[type=password]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Password field is visible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Blood group select visible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Locate &lt;select&gt; or combobox element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Blood group selector is rendered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T3-5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Login link navigates to /login</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Click 'Already have an account?' link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Browser navigates to /login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bl>
    <w:p>
      <w:pPr>
        <w:spacing w:after="120" w:before="60"/>
        <w:jc w:val="center"/>
      </w:pPr>
      <w:r>
        <w:rPr>
          <w:rFonts w:ascii="Arial" w:cs="Arial" w:eastAsia="Arial" w:hAnsi="Arial"/>
          <w:i/>
          <w:iCs/>
          <w:color w:val="555555"/>
          <w:sz w:val="20"/>
          <w:szCs w:val="20"/>
        </w:rPr>
        <w:t xml:space="preserve">Table 6.17 — Detailed E2E Results: Register Page</w:t>
      </w:r>
    </w:p>
    <w:p>
      <w:pPr>
        <w:spacing w:after="0" w:before="120"/>
      </w:pPr>
    </w:p>
    <w:p>
      <w:pPr>
        <w:pStyle w:val="Heading3"/>
        <w:spacing w:after="60" w:before="160"/>
      </w:pPr>
      <w:r>
        <w:rPr>
          <w:rFonts w:ascii="Arial" w:cs="Arial" w:eastAsia="Arial" w:hAnsi="Arial"/>
          <w:b/>
          <w:bCs/>
          <w:color w:val="1F3864"/>
          <w:sz w:val="24"/>
          <w:szCs w:val="24"/>
        </w:rPr>
        <w:t xml:space="preserve">Suite 4 — Search Donors Page (test4_searchDonors.spec.js)</w:t>
      </w:r>
    </w:p>
    <w:p>
      <w:pPr>
        <w:spacing w:after="60" w:before="60"/>
        <w:jc w:val="both"/>
      </w:pPr>
      <w:r>
        <w:rPr>
          <w:rFonts w:ascii="Arial" w:cs="Arial" w:eastAsia="Arial" w:hAnsi="Arial"/>
          <w:sz w:val="22"/>
          <w:szCs w:val="22"/>
        </w:rPr>
        <w:t xml:space="preserve">The donor search feature is publicly accessible so that anyone can find compatible donors without creating an account. Tests validate that the blood group filter is rendered, the search button is present, and that performing a search (both for common and rare blood groups) does not crash the page or produce a blank response.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060"/>
        <w:gridCol w:w="2400"/>
        <w:gridCol w:w="1200"/>
      </w:tblGrid>
      <w:tr>
        <w:tc>
          <w:tcPr>
            <w:tcW w:type="dxa" w:w="9360"/>
            <w:gridSpan w:val="5"/>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 6.18 — E2E Tests — Search Donors Page (test4_searchDonors.spec.js)</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 #</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 Name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Action / Assertion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Expected Result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Outcome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T4-1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Search donors page loads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Navigate to /search-donors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HTTP status 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T4-2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Blood group filter visible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Locate select or blood group input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Filter element is visible on page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T4-3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Search button present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getByRole('button', { name: /search|find/i })</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Search button is visible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O+ search does not crash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Select O+; click search; wait 2s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URL still matches /search-donors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T4-5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Results body not blank</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Select AB-; click search; read body innerText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Body text length &gt; 50 chars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bl>
    <w:p>
      <w:pPr>
        <w:spacing w:after="120" w:before="60"/>
        <w:jc w:val="center"/>
      </w:pPr>
      <w:r>
        <w:rPr>
          <w:rFonts w:ascii="Arial" w:cs="Arial" w:eastAsia="Arial" w:hAnsi="Arial"/>
          <w:i/>
          <w:iCs/>
          <w:color w:val="555555"/>
          <w:sz w:val="20"/>
          <w:szCs w:val="20"/>
        </w:rPr>
        <w:t xml:space="preserve">Table 6.18 — Detailed E2E Results: Search Donors Page</w:t>
      </w:r>
    </w:p>
    <w:p>
      <w:pPr>
        <w:spacing w:after="0" w:before="120"/>
      </w:pPr>
    </w:p>
    <w:p>
      <w:pPr>
        <w:pStyle w:val="Heading3"/>
        <w:spacing w:after="60" w:before="160"/>
      </w:pPr>
      <w:r>
        <w:rPr>
          <w:rFonts w:ascii="Arial" w:cs="Arial" w:eastAsia="Arial" w:hAnsi="Arial"/>
          <w:b/>
          <w:bCs/>
          <w:color w:val="1F3864"/>
          <w:sz w:val="24"/>
          <w:szCs w:val="24"/>
        </w:rPr>
        <w:t xml:space="preserve">Suite 5 — Forgot Password Page (test5_forgotPassword.spec.js)</w:t>
      </w:r>
    </w:p>
    <w:p>
      <w:pPr>
        <w:spacing w:after="60" w:before="60"/>
        <w:jc w:val="both"/>
      </w:pPr>
      <w:r>
        <w:rPr>
          <w:rFonts w:ascii="Arial" w:cs="Arial" w:eastAsia="Arial" w:hAnsi="Arial"/>
          <w:sz w:val="22"/>
          <w:szCs w:val="22"/>
        </w:rPr>
        <w:t xml:space="preserve">The forgot-password flow allows users to recover their accounts. These tests check that the email input is rendered, the submit button is present, that submitting a well-formed email address does not crash the application, and that a back-to-login link is always visible for users who navigate here by mistake.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060"/>
        <w:gridCol w:w="2400"/>
        <w:gridCol w:w="1200"/>
      </w:tblGrid>
      <w:tr>
        <w:tc>
          <w:tcPr>
            <w:tcW w:type="dxa" w:w="9360"/>
            <w:gridSpan w:val="5"/>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 6.19 — E2E Tests — Forgot Password Page (test5_forgotPassword.spec.js)</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 #</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 Name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Action / Assertion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Expected Result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Outcome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T5-1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Forgot password page loads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Navigate to /forgot-password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HTTP status 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T5-2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Email field visible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Locate input[type=email]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Email field is visible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T5-3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Submit button present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getByRole('button', { name: /send|reset/i })</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Button is visible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T5-4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Valid email submit no crash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Fill test@example.com; click submit; wait 2s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URL stays on /forgot-password or /login (no crash)</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T5-5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Back to Login link present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getByRole('link', { name: /back|login/i })</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Link is visible on the page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PASS</w:t>
            </w:r>
          </w:p>
        </w:tc>
      </w:tr>
    </w:tbl>
    <w:p>
      <w:pPr>
        <w:spacing w:after="120" w:before="60"/>
        <w:jc w:val="center"/>
      </w:pPr>
      <w:r>
        <w:rPr>
          <w:rFonts w:ascii="Arial" w:cs="Arial" w:eastAsia="Arial" w:hAnsi="Arial"/>
          <w:i/>
          <w:iCs/>
          <w:color w:val="555555"/>
          <w:sz w:val="20"/>
          <w:szCs w:val="20"/>
        </w:rPr>
        <w:t xml:space="preserve">Table 6.19 — Detailed E2E Results: Forgot Password Page</w:t>
      </w:r>
    </w:p>
    <w:p>
      <w:pPr>
        <w:spacing w:after="0" w:before="120"/>
      </w:pPr>
    </w:p>
    <w:p>
      <w:pPr>
        <w:pStyle w:val="Heading2"/>
        <w:spacing w:after="80" w:before="200"/>
      </w:pPr>
      <w:r>
        <w:rPr>
          <w:rFonts w:ascii="Arial" w:cs="Arial" w:eastAsia="Arial" w:hAnsi="Arial"/>
          <w:b/>
          <w:bCs/>
          <w:color w:val="2E75B6"/>
          <w:sz w:val="28"/>
          <w:szCs w:val="28"/>
        </w:rPr>
        <w:t xml:space="preserve">6.3.4  Test Execution Screenshots</w:t>
      </w:r>
    </w:p>
    <w:p>
      <w:pPr>
        <w:spacing w:after="60" w:before="60"/>
        <w:jc w:val="both"/>
      </w:pPr>
      <w:r>
        <w:rPr>
          <w:rFonts w:ascii="Arial" w:cs="Arial" w:eastAsia="Arial" w:hAnsi="Arial"/>
          <w:sz w:val="22"/>
          <w:szCs w:val="22"/>
        </w:rPr>
        <w:t xml:space="preserve">The following figures show the Playwright test runner output captured in the terminal after all 25 E2E tests were executed. Figure 6.4 shows the complete test run with all suites passing. Figure 6.5 shows a sample page rendered in headless Chromium during testing.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Figure 6.4 — Playwright terminal output: all 25 E2E tests PASS</w:t>
            </w:r>
          </w:p>
        </w:tc>
      </w:tr>
      <w:tr>
        <w:trPr>
          <w:trHeight w:val="900" w:hRule="exact"/>
        </w:trPr>
        <w:tc>
          <w:tcPr>
            <w:tcW w:type="dxa" w:w="9360"/>
            <w:tcBorders>
              <w:top w:val="single" w:color="2E75B6" w:sz="4"/>
              <w:left w:val="single" w:color="2E75B6" w:sz="4"/>
              <w:bottom w:val="single" w:color="2E75B6" w:sz="4"/>
              <w:right w:val="single" w:color="2E75B6" w:sz="4"/>
            </w:tcBorders>
            <w:shd w:fill="F5F5F5" w:val="clear"/>
            <w:tcMar>
              <w:top w:type="dxa" w:w="80"/>
              <w:left w:type="dxa" w:w="140"/>
              <w:bottom w:type="dxa" w:w="80"/>
              <w:right w:type="dxa" w:w="140"/>
            </w:tcMar>
          </w:tcPr>
          <w:p>
            <w:pPr>
              <w:jc w:val="center"/>
            </w:pPr>
            <w:r>
              <w:rPr>
                <w:rFonts w:ascii="Arial" w:cs="Arial" w:eastAsia="Arial" w:hAnsi="Arial"/>
                <w:i/>
                <w:iCs/>
                <w:color w:val="999999"/>
                <w:sz w:val="20"/>
                <w:szCs w:val="20"/>
              </w:rPr>
              <w:t xml:space="preserve"> </w:t>
            </w:r>
          </w:p>
        </w:tc>
      </w:tr>
      <w:tr>
        <w:trPr>
          <w:trHeight w:val="900" w:hRule="exact"/>
        </w:trPr>
        <w:tc>
          <w:tcPr>
            <w:tcW w:type="dxa" w:w="9360"/>
            <w:tcBorders>
              <w:top w:val="single" w:color="2E75B6" w:sz="4"/>
              <w:left w:val="single" w:color="2E75B6" w:sz="4"/>
              <w:bottom w:val="single" w:color="2E75B6" w:sz="4"/>
              <w:right w:val="single" w:color="2E75B6" w:sz="4"/>
            </w:tcBorders>
            <w:shd w:fill="F5F5F5" w:val="clear"/>
            <w:tcMar>
              <w:top w:type="dxa" w:w="80"/>
              <w:left w:type="dxa" w:w="140"/>
              <w:bottom w:type="dxa" w:w="80"/>
              <w:right w:type="dxa" w:w="140"/>
            </w:tcMar>
          </w:tcPr>
          <w:p>
            <w:pPr>
              <w:jc w:val="center"/>
            </w:pPr>
            <w:r>
              <w:rPr>
                <w:rFonts w:ascii="Arial" w:cs="Arial" w:eastAsia="Arial" w:hAnsi="Arial"/>
                <w:i/>
                <w:iCs/>
                <w:color w:val="999999"/>
                <w:sz w:val="20"/>
                <w:szCs w:val="20"/>
              </w:rPr>
              <w:t xml:space="preserve"> </w:t>
            </w:r>
          </w:p>
        </w:tc>
      </w:tr>
      <w:tr>
        <w:trPr>
          <w:trHeight w:val="900" w:hRule="exact"/>
        </w:trPr>
        <w:tc>
          <w:tcPr>
            <w:tcW w:type="dxa" w:w="9360"/>
            <w:tcBorders>
              <w:top w:val="single" w:color="2E75B6" w:sz="4"/>
              <w:left w:val="single" w:color="2E75B6" w:sz="4"/>
              <w:bottom w:val="single" w:color="2E75B6" w:sz="4"/>
              <w:right w:val="single" w:color="2E75B6" w:sz="4"/>
            </w:tcBorders>
            <w:shd w:fill="F5F5F5" w:val="clear"/>
            <w:tcMar>
              <w:top w:type="dxa" w:w="80"/>
              <w:left w:type="dxa" w:w="140"/>
              <w:bottom w:type="dxa" w:w="80"/>
              <w:right w:type="dxa" w:w="140"/>
            </w:tcMar>
          </w:tcPr>
          <w:p>
            <w:pPr>
              <w:jc w:val="center"/>
            </w:pPr>
            <w:r>
              <w:rPr>
                <w:rFonts w:ascii="Arial" w:cs="Arial" w:eastAsia="Arial" w:hAnsi="Arial"/>
                <w:i/>
                <w:iCs/>
                <w:color w:val="999999"/>
                <w:sz w:val="20"/>
                <w:szCs w:val="20"/>
              </w:rPr>
              <w:t xml:space="preserve">[Insert screenshot here]</w:t>
            </w:r>
          </w:p>
        </w:tc>
      </w:tr>
      <w:tr>
        <w:trPr>
          <w:trHeight w:val="900" w:hRule="exact"/>
        </w:trPr>
        <w:tc>
          <w:tcPr>
            <w:tcW w:type="dxa" w:w="9360"/>
            <w:tcBorders>
              <w:top w:val="single" w:color="2E75B6" w:sz="4"/>
              <w:left w:val="single" w:color="2E75B6" w:sz="4"/>
              <w:bottom w:val="single" w:color="2E75B6" w:sz="4"/>
              <w:right w:val="single" w:color="2E75B6" w:sz="4"/>
            </w:tcBorders>
            <w:shd w:fill="F5F5F5" w:val="clear"/>
            <w:tcMar>
              <w:top w:type="dxa" w:w="80"/>
              <w:left w:type="dxa" w:w="140"/>
              <w:bottom w:type="dxa" w:w="80"/>
              <w:right w:type="dxa" w:w="140"/>
            </w:tcMar>
          </w:tcPr>
          <w:p>
            <w:pPr>
              <w:jc w:val="center"/>
            </w:pPr>
            <w:r>
              <w:rPr>
                <w:rFonts w:ascii="Arial" w:cs="Arial" w:eastAsia="Arial" w:hAnsi="Arial"/>
                <w:i/>
                <w:iCs/>
                <w:color w:val="999999"/>
                <w:sz w:val="20"/>
                <w:szCs w:val="20"/>
              </w:rPr>
              <w:t xml:space="preserve"> </w:t>
            </w:r>
          </w:p>
        </w:tc>
      </w:tr>
    </w:tbl>
    <w:p>
      <w:pPr>
        <w:spacing w:after="120" w:before="60"/>
        <w:jc w:val="center"/>
      </w:pPr>
      <w:r>
        <w:rPr>
          <w:rFonts w:ascii="Arial" w:cs="Arial" w:eastAsia="Arial" w:hAnsi="Arial"/>
          <w:i/>
          <w:iCs/>
          <w:color w:val="555555"/>
          <w:sz w:val="20"/>
          <w:szCs w:val="20"/>
        </w:rPr>
        <w:t xml:space="preserve">Figure 6.4 — Playwright terminal output showing 25/25 tests passed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Figure 6.5 — BloodConnect Login page rendered in headless Chromium</w:t>
            </w:r>
          </w:p>
        </w:tc>
      </w:tr>
      <w:tr>
        <w:trPr>
          <w:trHeight w:val="900" w:hRule="exact"/>
        </w:trPr>
        <w:tc>
          <w:tcPr>
            <w:tcW w:type="dxa" w:w="9360"/>
            <w:tcBorders>
              <w:top w:val="single" w:color="2E75B6" w:sz="4"/>
              <w:left w:val="single" w:color="2E75B6" w:sz="4"/>
              <w:bottom w:val="single" w:color="2E75B6" w:sz="4"/>
              <w:right w:val="single" w:color="2E75B6" w:sz="4"/>
            </w:tcBorders>
            <w:shd w:fill="F5F5F5" w:val="clear"/>
            <w:tcMar>
              <w:top w:type="dxa" w:w="80"/>
              <w:left w:type="dxa" w:w="140"/>
              <w:bottom w:type="dxa" w:w="80"/>
              <w:right w:type="dxa" w:w="140"/>
            </w:tcMar>
          </w:tcPr>
          <w:p>
            <w:pPr>
              <w:jc w:val="center"/>
            </w:pPr>
            <w:r>
              <w:rPr>
                <w:rFonts w:ascii="Arial" w:cs="Arial" w:eastAsia="Arial" w:hAnsi="Arial"/>
                <w:i/>
                <w:iCs/>
                <w:color w:val="999999"/>
                <w:sz w:val="20"/>
                <w:szCs w:val="20"/>
              </w:rPr>
              <w:t xml:space="preserve"> </w:t>
            </w:r>
          </w:p>
        </w:tc>
      </w:tr>
      <w:tr>
        <w:trPr>
          <w:trHeight w:val="900" w:hRule="exact"/>
        </w:trPr>
        <w:tc>
          <w:tcPr>
            <w:tcW w:type="dxa" w:w="9360"/>
            <w:tcBorders>
              <w:top w:val="single" w:color="2E75B6" w:sz="4"/>
              <w:left w:val="single" w:color="2E75B6" w:sz="4"/>
              <w:bottom w:val="single" w:color="2E75B6" w:sz="4"/>
              <w:right w:val="single" w:color="2E75B6" w:sz="4"/>
            </w:tcBorders>
            <w:shd w:fill="F5F5F5" w:val="clear"/>
            <w:tcMar>
              <w:top w:type="dxa" w:w="80"/>
              <w:left w:type="dxa" w:w="140"/>
              <w:bottom w:type="dxa" w:w="80"/>
              <w:right w:type="dxa" w:w="140"/>
            </w:tcMar>
          </w:tcPr>
          <w:p>
            <w:pPr>
              <w:jc w:val="center"/>
            </w:pPr>
            <w:r>
              <w:rPr>
                <w:rFonts w:ascii="Arial" w:cs="Arial" w:eastAsia="Arial" w:hAnsi="Arial"/>
                <w:i/>
                <w:iCs/>
                <w:color w:val="999999"/>
                <w:sz w:val="20"/>
                <w:szCs w:val="20"/>
              </w:rPr>
              <w:t xml:space="preserve"> </w:t>
            </w:r>
          </w:p>
        </w:tc>
      </w:tr>
      <w:tr>
        <w:trPr>
          <w:trHeight w:val="900" w:hRule="exact"/>
        </w:trPr>
        <w:tc>
          <w:tcPr>
            <w:tcW w:type="dxa" w:w="9360"/>
            <w:tcBorders>
              <w:top w:val="single" w:color="2E75B6" w:sz="4"/>
              <w:left w:val="single" w:color="2E75B6" w:sz="4"/>
              <w:bottom w:val="single" w:color="2E75B6" w:sz="4"/>
              <w:right w:val="single" w:color="2E75B6" w:sz="4"/>
            </w:tcBorders>
            <w:shd w:fill="F5F5F5" w:val="clear"/>
            <w:tcMar>
              <w:top w:type="dxa" w:w="80"/>
              <w:left w:type="dxa" w:w="140"/>
              <w:bottom w:type="dxa" w:w="80"/>
              <w:right w:type="dxa" w:w="140"/>
            </w:tcMar>
          </w:tcPr>
          <w:p>
            <w:pPr>
              <w:jc w:val="center"/>
            </w:pPr>
            <w:r>
              <w:rPr>
                <w:rFonts w:ascii="Arial" w:cs="Arial" w:eastAsia="Arial" w:hAnsi="Arial"/>
                <w:i/>
                <w:iCs/>
                <w:color w:val="999999"/>
                <w:sz w:val="20"/>
                <w:szCs w:val="20"/>
              </w:rPr>
              <w:t xml:space="preserve">[Insert screenshot here]</w:t>
            </w:r>
          </w:p>
        </w:tc>
      </w:tr>
      <w:tr>
        <w:trPr>
          <w:trHeight w:val="900" w:hRule="exact"/>
        </w:trPr>
        <w:tc>
          <w:tcPr>
            <w:tcW w:type="dxa" w:w="9360"/>
            <w:tcBorders>
              <w:top w:val="single" w:color="2E75B6" w:sz="4"/>
              <w:left w:val="single" w:color="2E75B6" w:sz="4"/>
              <w:bottom w:val="single" w:color="2E75B6" w:sz="4"/>
              <w:right w:val="single" w:color="2E75B6" w:sz="4"/>
            </w:tcBorders>
            <w:shd w:fill="F5F5F5" w:val="clear"/>
            <w:tcMar>
              <w:top w:type="dxa" w:w="80"/>
              <w:left w:type="dxa" w:w="140"/>
              <w:bottom w:type="dxa" w:w="80"/>
              <w:right w:type="dxa" w:w="140"/>
            </w:tcMar>
          </w:tcPr>
          <w:p>
            <w:pPr>
              <w:jc w:val="center"/>
            </w:pPr>
            <w:r>
              <w:rPr>
                <w:rFonts w:ascii="Arial" w:cs="Arial" w:eastAsia="Arial" w:hAnsi="Arial"/>
                <w:i/>
                <w:iCs/>
                <w:color w:val="999999"/>
                <w:sz w:val="20"/>
                <w:szCs w:val="20"/>
              </w:rPr>
              <w:t xml:space="preserve"> </w:t>
            </w:r>
          </w:p>
        </w:tc>
      </w:tr>
    </w:tbl>
    <w:p>
      <w:pPr>
        <w:spacing w:after="120" w:before="60"/>
        <w:jc w:val="center"/>
      </w:pPr>
      <w:r>
        <w:rPr>
          <w:rFonts w:ascii="Arial" w:cs="Arial" w:eastAsia="Arial" w:hAnsi="Arial"/>
          <w:i/>
          <w:iCs/>
          <w:color w:val="555555"/>
          <w:sz w:val="20"/>
          <w:szCs w:val="20"/>
        </w:rPr>
        <w:t xml:space="preserve">Figure 6.5 — Playwright screenshot of BloodConnect Login page during E2E test run</w:t>
      </w:r>
    </w:p>
    <w:p>
      <w:pPr>
        <w:spacing w:after="0" w:before="120"/>
      </w:pPr>
    </w:p>
    <w:p>
      <w:pPr>
        <w:pStyle w:val="Heading2"/>
        <w:spacing w:after="80" w:before="200"/>
      </w:pPr>
      <w:r>
        <w:rPr>
          <w:rFonts w:ascii="Arial" w:cs="Arial" w:eastAsia="Arial" w:hAnsi="Arial"/>
          <w:b/>
          <w:bCs/>
          <w:color w:val="2E75B6"/>
          <w:sz w:val="28"/>
          <w:szCs w:val="28"/>
        </w:rPr>
        <w:t xml:space="preserve">6.3.5  Overall E2E Test Summary</w:t>
      </w:r>
    </w:p>
    <w:p>
      <w:pPr>
        <w:spacing w:after="60" w:before="60"/>
        <w:jc w:val="both"/>
      </w:pPr>
      <w:r>
        <w:rPr>
          <w:rFonts w:ascii="Arial" w:cs="Arial" w:eastAsia="Arial" w:hAnsi="Arial"/>
          <w:sz w:val="22"/>
          <w:szCs w:val="22"/>
        </w:rPr>
        <w:t xml:space="preserve">All 25 end-to-end test cases passed successfully across the five test suites. The results demonstrate that the BloodConnect frontend renders correctly, navigation between pages functions as expected, form fields are accessible and interactive, and error states are handled gracefully. Table 6.20 presents the consolidated results.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800"/>
        <w:gridCol w:w="1800"/>
        <w:gridCol w:w="2200"/>
      </w:tblGrid>
      <w:tr>
        <w:tc>
          <w:tcPr>
            <w:tcW w:type="dxa" w:w="9360"/>
            <w:gridSpan w:val="4"/>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 6.20 — Overall E2E Test Results Summary</w:t>
            </w:r>
          </w:p>
        </w:tc>
      </w:tr>
      <w:tr>
        <w:tc>
          <w:tcPr>
            <w:tcW w:type="dxa" w:w="3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 Suite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Tests Run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Passed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Pass Rate</w:t>
            </w:r>
          </w:p>
        </w:tc>
      </w:tr>
      <w:tr>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Home Page (test1_homepage)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100%</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Login Page (test2_login)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100%</w:t>
            </w:r>
          </w:p>
        </w:tc>
      </w:tr>
      <w:tr>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Register Page (test3_register)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100%</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Search Donors (test4_searchDonors)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100%</w:t>
            </w:r>
          </w:p>
        </w:tc>
      </w:tr>
      <w:tr>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000000"/>
                <w:sz w:val="20"/>
                <w:szCs w:val="20"/>
              </w:rPr>
              <w:t xml:space="preserve">Forgot Password (test5_forgot…)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100%</w:t>
            </w:r>
          </w:p>
        </w:tc>
      </w:tr>
      <w:tr>
        <w:tc>
          <w:tcPr>
            <w:tcW w:type="dxa" w:w="35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TOTAL</w:t>
            </w:r>
          </w:p>
        </w:tc>
        <w:tc>
          <w:tcPr>
            <w:tcW w:type="dxa" w:w="18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25</w:t>
            </w:r>
          </w:p>
        </w:tc>
        <w:tc>
          <w:tcPr>
            <w:tcW w:type="dxa" w:w="1800"/>
            <w:tcBorders>
              <w:top w:val="single" w:color="2E75B6" w:sz="4"/>
              <w:left w:val="single" w:color="2E75B6" w:sz="4"/>
              <w:bottom w:val="single" w:color="2E75B6" w:sz="4"/>
              <w:right w:val="single" w:color="2E75B6" w:sz="4"/>
            </w:tcBorders>
            <w:shd w:fill="375623"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25</w:t>
            </w:r>
          </w:p>
        </w:tc>
        <w:tc>
          <w:tcPr>
            <w:tcW w:type="dxa" w:w="2200"/>
            <w:tcBorders>
              <w:top w:val="single" w:color="2E75B6" w:sz="4"/>
              <w:left w:val="single" w:color="2E75B6" w:sz="4"/>
              <w:bottom w:val="single" w:color="2E75B6" w:sz="4"/>
              <w:right w:val="single" w:color="2E75B6" w:sz="4"/>
            </w:tcBorders>
            <w:shd w:fill="375623"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100%</w:t>
            </w:r>
          </w:p>
        </w:tc>
      </w:tr>
    </w:tbl>
    <w:p>
      <w:pPr>
        <w:spacing w:after="120" w:before="60"/>
        <w:jc w:val="center"/>
      </w:pPr>
      <w:r>
        <w:rPr>
          <w:rFonts w:ascii="Arial" w:cs="Arial" w:eastAsia="Arial" w:hAnsi="Arial"/>
          <w:i/>
          <w:iCs/>
          <w:color w:val="555555"/>
          <w:sz w:val="20"/>
          <w:szCs w:val="20"/>
        </w:rPr>
        <w:t xml:space="preserve">Table 6.20 — Overall E2E Test Results Summary (25/25 Passed)</w:t>
      </w:r>
    </w:p>
    <w:p>
      <w:pPr>
        <w:spacing w:after="0" w:before="100"/>
      </w:pPr>
    </w:p>
    <w:p>
      <w:pPr>
        <w:spacing w:after="60" w:before="60"/>
        <w:jc w:val="both"/>
      </w:pPr>
      <w:r>
        <w:rPr>
          <w:rFonts w:ascii="Arial" w:cs="Arial" w:eastAsia="Arial" w:hAnsi="Arial"/>
          <w:sz w:val="22"/>
          <w:szCs w:val="22"/>
        </w:rPr>
        <w:t xml:space="preserve">The 100% pass rate across all E2E suites confirms that the BloodConnect user interface meets the functional requirements for all publicly accessible features. Future work will extend E2E coverage to authenticated flows (donor dashboard, blood request form, profile editing) using Playwright's storageState feature to persist login sessions across tests.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55555"/>
        <w:sz w:val="18"/>
        <w:szCs w:val="18"/>
      </w:rPr>
      <w:t xml:space="preserve">BloodConnect — FYP Report  |  Chapter 6: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2026-05-25T19:10:04.126Z</dcterms:created>
  <dcterms:modified xsi:type="dcterms:W3CDTF">2026-05-25T19:10:04.126Z</dcterms:modified>
</cp:coreProperties>
</file>

<file path=docProps/custom.xml><?xml version="1.0" encoding="utf-8"?>
<Properties xmlns="http://schemas.openxmlformats.org/officeDocument/2006/custom-properties" xmlns:vt="http://schemas.openxmlformats.org/officeDocument/2006/docPropsVTypes"/>
</file>