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666666"/>
          <w:sz w:val="26"/>
          <w:szCs w:val="26"/>
        </w:rPr>
        <w:t xml:space="preserve">BUSINESS PROCESS REENGINEERING</w:t>
      </w:r>
    </w:p>
    <w:p>
      <w:pPr>
        <w:spacing w:after="400" w:before="200"/>
        <w:jc w:val="center"/>
      </w:pPr>
      <w:r>
        <w:rPr>
          <w:rFonts w:ascii="Calibri" w:cs="Calibri" w:eastAsia="Calibri" w:hAnsi="Calibri"/>
          <w:b/>
          <w:bCs/>
          <w:color w:val="666666"/>
          <w:sz w:val="26"/>
          <w:szCs w:val="26"/>
        </w:rPr>
        <w:t xml:space="preserve">PROJECT REPORT</w:t>
      </w:r>
    </w:p>
    <w:p>
      <w:pPr>
        <w:spacing w:after="200" w:before="400"/>
        <w:jc w:val="center"/>
      </w:pPr>
      <w:r>
        <w:rPr>
          <w:rFonts w:ascii="Calibri" w:cs="Calibri" w:eastAsia="Calibri" w:hAnsi="Calibri"/>
          <w:b/>
          <w:bCs/>
          <w:color w:val="2E7D4F"/>
          <w:sz w:val="60"/>
          <w:szCs w:val="60"/>
        </w:rPr>
        <w:t xml:space="preserve">FreshCrate</w:t>
      </w:r>
    </w:p>
    <w:p>
      <w:pPr>
        <w:spacing w:after="800"/>
        <w:jc w:val="center"/>
      </w:pPr>
      <w:r>
        <w:rPr>
          <w:rFonts w:ascii="Calibri" w:cs="Calibri" w:eastAsia="Calibri" w:hAnsi="Calibri"/>
          <w:i/>
          <w:iCs/>
          <w:color w:val="1F3B57"/>
          <w:sz w:val="28"/>
          <w:szCs w:val="28"/>
        </w:rPr>
        <w:t xml:space="preserve">A Subscription-Based Fresh Produce Delivery Service</w:t>
      </w:r>
    </w:p>
    <w:p>
      <w:pPr>
        <w:spacing w:after="100" w:before="1600"/>
        <w:jc w:val="center"/>
      </w:pPr>
      <w:r>
        <w:rPr>
          <w:rFonts w:ascii="Calibri" w:cs="Calibri" w:eastAsia="Calibri" w:hAnsi="Calibri"/>
          <w:b/>
          <w:bCs/>
          <w:sz w:val="24"/>
          <w:szCs w:val="24"/>
        </w:rPr>
        <w:t xml:space="preserve">Business Process Reengineering for FreshCrate: A Subscription-Based Fresh Produce Delivery Service</w:t>
      </w:r>
    </w:p>
    <w:p>
      <w:pPr>
        <w:spacing w:before="1200"/>
        <w:jc w:val="center"/>
      </w:pPr>
      <w:r>
        <w:rPr>
          <w:rFonts w:ascii="Calibri" w:cs="Calibri" w:eastAsia="Calibri" w:hAnsi="Calibri"/>
          <w:sz w:val="22"/>
          <w:szCs w:val="22"/>
        </w:rPr>
        <w:t xml:space="preserve">Prepared by: [Your Name]</w:t>
      </w:r>
    </w:p>
    <w:p>
      <w:pPr>
        <w:spacing w:after="100"/>
        <w:jc w:val="center"/>
      </w:pPr>
      <w:r>
        <w:rPr>
          <w:rFonts w:ascii="Calibri" w:cs="Calibri" w:eastAsia="Calibri" w:hAnsi="Calibri"/>
          <w:sz w:val="22"/>
          <w:szCs w:val="22"/>
        </w:rPr>
        <w:t xml:space="preserve">Student ID: [Your Student ID]</w:t>
      </w:r>
    </w:p>
    <w:p>
      <w:pPr>
        <w:spacing w:after="100"/>
        <w:jc w:val="center"/>
      </w:pPr>
      <w:r>
        <w:rPr>
          <w:rFonts w:ascii="Calibri" w:cs="Calibri" w:eastAsia="Calibri" w:hAnsi="Calibri"/>
          <w:sz w:val="22"/>
          <w:szCs w:val="22"/>
        </w:rPr>
        <w:t xml:space="preserve">Group Members: [List group members and IDs, if applicable]</w:t>
      </w:r>
    </w:p>
    <w:p>
      <w:pPr>
        <w:spacing w:after="100"/>
        <w:jc w:val="center"/>
      </w:pPr>
      <w:r>
        <w:rPr>
          <w:rFonts w:ascii="Calibri" w:cs="Calibri" w:eastAsia="Calibri" w:hAnsi="Calibri"/>
          <w:sz w:val="22"/>
          <w:szCs w:val="22"/>
        </w:rPr>
        <w:t xml:space="preserve">Course: Business Process Reengineering (BPR)</w:t>
      </w:r>
    </w:p>
    <w:p>
      <w:pPr>
        <w:spacing w:after="100"/>
        <w:jc w:val="center"/>
      </w:pPr>
      <w:r>
        <w:rPr>
          <w:rFonts w:ascii="Calibri" w:cs="Calibri" w:eastAsia="Calibri" w:hAnsi="Calibri"/>
          <w:sz w:val="22"/>
          <w:szCs w:val="22"/>
        </w:rPr>
        <w:t xml:space="preserve">Lecturer: [Lecturer's Name]</w:t>
      </w:r>
    </w:p>
    <w:p>
      <w:pPr>
        <w:spacing w:after="100"/>
        <w:jc w:val="center"/>
      </w:pPr>
      <w:r>
        <w:rPr>
          <w:rFonts w:ascii="Calibri" w:cs="Calibri" w:eastAsia="Calibri" w:hAnsi="Calibri"/>
          <w:sz w:val="22"/>
          <w:szCs w:val="22"/>
        </w:rPr>
        <w:t xml:space="preserve">Institution: [Institution Name]</w:t>
      </w:r>
    </w:p>
    <w:p>
      <w:pPr>
        <w:spacing w:before="100"/>
        <w:jc w:val="center"/>
      </w:pPr>
      <w:r>
        <w:rPr>
          <w:rFonts w:ascii="Calibri" w:cs="Calibri" w:eastAsia="Calibri" w:hAnsi="Calibri"/>
          <w:sz w:val="22"/>
          <w:szCs w:val="22"/>
        </w:rPr>
        <w:t xml:space="preserve">Date: 18 July 2026</w:t>
      </w:r>
    </w:p>
    <w:p>
      <w:pPr>
        <w:sectPr>
          <w:pgSz w:w="12240" w:h="15840" w:orient="portrait"/>
          <w:pgMar w:top="1440" w:right="1440" w:bottom="1440" w:left="1440" w:header="708" w:footer="708" w:gutter="0"/>
          <w:pgNumType/>
          <w:docGrid w:linePitch="360"/>
        </w:sectPr>
      </w:pPr>
    </w:p>
    <w:p>
      <w:pPr>
        <w:pStyle w:val="Heading1"/>
        <w:spacing w:after="18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spacing w:after="180" w:before="360"/>
      </w:pPr>
      <w:r>
        <w:t xml:space="preserve">2. Executive Summary</w:t>
      </w:r>
    </w:p>
    <w:p>
      <w:pPr>
        <w:spacing w:after="160" w:line="276"/>
      </w:pPr>
      <w:r>
        <w:rPr>
          <w:rFonts w:ascii="Calibri" w:cs="Calibri" w:eastAsia="Calibri" w:hAnsi="Calibri"/>
          <w:sz w:val="22"/>
          <w:szCs w:val="22"/>
        </w:rPr>
        <w:t xml:space="preserve">FreshCrate is a subscription-based fresh produce delivery service designed to connect smallholder and mid-scale farmers in the Greater Accra Region directly to urban households and small restaurants through weekly "crates" of fruits and vegetables. Customers subscribe online or via mobile money, select a crate size and preferences, and receive fresh produce delivered on a fixed weekly schedule, eliminating the need for repeated trips to open-air markets and reducing exposure to inconsistent quality and pricing.</w:t>
      </w:r>
    </w:p>
    <w:p>
      <w:pPr>
        <w:spacing w:after="160" w:line="276"/>
      </w:pPr>
      <w:r>
        <w:rPr>
          <w:rFonts w:ascii="Calibri" w:cs="Calibri" w:eastAsia="Calibri" w:hAnsi="Calibri"/>
          <w:sz w:val="22"/>
          <w:szCs w:val="22"/>
        </w:rPr>
        <w:t xml:space="preserve">Ghana's fresh produce supply chain suffers from a well-documented structural gap. Multiple independent sources — the World Food Programme, the Embassy of Denmark's cold-chain feasibility study, and the Alliance for a Green Revolution in Africa (AGRA) — converge on a figure of approximately </w:t>
      </w:r>
      <w:r>
        <w:rPr>
          <w:rFonts w:ascii="Calibri" w:cs="Calibri" w:eastAsia="Calibri" w:hAnsi="Calibri"/>
          <w:b/>
          <w:bCs/>
          <w:sz w:val="22"/>
          <w:szCs w:val="22"/>
        </w:rPr>
        <w:t xml:space="preserve">US$1.9–2 billion lost annually</w:t>
      </w:r>
      <w:r>
        <w:rPr>
          <w:rFonts w:ascii="Calibri" w:cs="Calibri" w:eastAsia="Calibri" w:hAnsi="Calibri"/>
          <w:sz w:val="22"/>
          <w:szCs w:val="22"/>
        </w:rPr>
        <w:t xml:space="preserve"> to post-harvest losses in Ghana, driven by inadequate storage, poor roads, fragmented market access, and the absence of cold-chain infrastructure. Postharvest loss rates for perishable vegetables are estimated at 20%–50% of harvested output. This loss is borne disproportionately by farmers, who lose up to 30% of potential income, while urban consumers simultaneously face inconsistent quality, unpredictable pricing, and the inconvenience of sourcing fresh produce.</w:t>
      </w:r>
    </w:p>
    <w:p>
      <w:pPr>
        <w:spacing w:after="160" w:line="276"/>
      </w:pPr>
      <w:r>
        <w:rPr>
          <w:rFonts w:ascii="Calibri" w:cs="Calibri" w:eastAsia="Calibri" w:hAnsi="Calibri"/>
          <w:sz w:val="22"/>
          <w:szCs w:val="22"/>
        </w:rPr>
        <w:t xml:space="preserve">FreshCrate proposes to reengineer this supply chain end-to-end: aggregating produce directly from a network of contracted farms, applying standardized grading and packaging at a central hub, and using a digital subscription and route-optimized delivery system to move produce from farm to household within 24–48 hours of harvest. This removes several layers of intermediaries, shortens the farm-to-fork cycle time, and creates a transparent, data-driven feedback loop between consumer demand and farm supply.</w:t>
      </w:r>
    </w:p>
    <w:p>
      <w:pPr>
        <w:pStyle w:val="Heading3"/>
        <w:spacing w:after="100" w:before="180"/>
      </w:pPr>
      <w:r>
        <w:t xml:space="preserve">Expected Benefits</w:t>
      </w:r>
    </w:p>
    <w:p>
      <w:pPr>
        <w:pStyle w:val="ListParagraph"/>
        <w:numPr>
          <w:ilvl w:val="0"/>
          <w:numId w:val="1"/>
        </w:numPr>
        <w:spacing w:after="100" w:line="276"/>
      </w:pPr>
      <w:r>
        <w:rPr>
          <w:rFonts w:ascii="Calibri" w:cs="Calibri" w:eastAsia="Calibri" w:hAnsi="Calibri"/>
          <w:sz w:val="22"/>
          <w:szCs w:val="22"/>
        </w:rPr>
        <w:t xml:space="preserve">Reduction of post-harvest and in-transit produce waste by an estimated 35–40% relative to traditional market channels, through pre-committed demand (subscriptions), consolidated cold-chain logistics, and standardized handling.</w:t>
      </w:r>
    </w:p>
    <w:p>
      <w:pPr>
        <w:pStyle w:val="ListParagraph"/>
        <w:numPr>
          <w:ilvl w:val="0"/>
          <w:numId w:val="1"/>
        </w:numPr>
        <w:spacing w:after="100" w:line="276"/>
      </w:pPr>
      <w:r>
        <w:rPr>
          <w:rFonts w:ascii="Calibri" w:cs="Calibri" w:eastAsia="Calibri" w:hAnsi="Calibri"/>
          <w:sz w:val="22"/>
          <w:szCs w:val="22"/>
        </w:rPr>
        <w:t xml:space="preserve">Faster farm-to-consumer cycle time (target: under 48 hours from harvest to doorstep, versus 4–7 days through multi-tier market chains).</w:t>
      </w:r>
    </w:p>
    <w:p>
      <w:pPr>
        <w:pStyle w:val="ListParagraph"/>
        <w:numPr>
          <w:ilvl w:val="0"/>
          <w:numId w:val="1"/>
        </w:numPr>
        <w:spacing w:after="100" w:line="276"/>
      </w:pPr>
      <w:r>
        <w:rPr>
          <w:rFonts w:ascii="Calibri" w:cs="Calibri" w:eastAsia="Calibri" w:hAnsi="Calibri"/>
          <w:sz w:val="22"/>
          <w:szCs w:val="22"/>
        </w:rPr>
        <w:t xml:space="preserve">Predictable, recurring revenue for FreshCrate and more stable, fairer pricing for partner farmers, replacing volatile spot-market rates.</w:t>
      </w:r>
    </w:p>
    <w:p>
      <w:pPr>
        <w:pStyle w:val="ListParagraph"/>
        <w:numPr>
          <w:ilvl w:val="0"/>
          <w:numId w:val="1"/>
        </w:numPr>
        <w:spacing w:after="100" w:line="276"/>
      </w:pPr>
      <w:r>
        <w:rPr>
          <w:rFonts w:ascii="Calibri" w:cs="Calibri" w:eastAsia="Calibri" w:hAnsi="Calibri"/>
          <w:sz w:val="22"/>
          <w:szCs w:val="22"/>
        </w:rPr>
        <w:t xml:space="preserve">Improved customer convenience and produce quality/consistency for urban households and small restaurants in Accra.</w:t>
      </w:r>
    </w:p>
    <w:p>
      <w:pPr>
        <w:pStyle w:val="Heading3"/>
        <w:spacing w:after="100" w:before="180"/>
      </w:pPr>
      <w:r>
        <w:t xml:space="preserve">BPR Objectives</w:t>
      </w:r>
    </w:p>
    <w:p>
      <w:pPr>
        <w:pStyle w:val="ListParagraph"/>
        <w:numPr>
          <w:ilvl w:val="0"/>
          <w:numId w:val="1"/>
        </w:numPr>
        <w:spacing w:after="100" w:line="276"/>
      </w:pPr>
      <w:r>
        <w:rPr>
          <w:rFonts w:ascii="Calibri" w:cs="Calibri" w:eastAsia="Calibri" w:hAnsi="Calibri"/>
          <w:sz w:val="22"/>
          <w:szCs w:val="22"/>
        </w:rPr>
        <w:t xml:space="preserve">Eliminate redundant intermediary handling steps in the traditional farm-to-market-to-consumer chain.</w:t>
      </w:r>
    </w:p>
    <w:p>
      <w:pPr>
        <w:pStyle w:val="ListParagraph"/>
        <w:numPr>
          <w:ilvl w:val="0"/>
          <w:numId w:val="1"/>
        </w:numPr>
        <w:spacing w:after="100" w:line="276"/>
      </w:pPr>
      <w:r>
        <w:rPr>
          <w:rFonts w:ascii="Calibri" w:cs="Calibri" w:eastAsia="Calibri" w:hAnsi="Calibri"/>
          <w:sz w:val="22"/>
          <w:szCs w:val="22"/>
        </w:rPr>
        <w:t xml:space="preserve">Simplify order-to-delivery workflows through a single digital subscription and route-planning platform.</w:t>
      </w:r>
    </w:p>
    <w:p>
      <w:pPr>
        <w:pStyle w:val="ListParagraph"/>
        <w:numPr>
          <w:ilvl w:val="0"/>
          <w:numId w:val="1"/>
        </w:numPr>
        <w:spacing w:after="100" w:line="276"/>
      </w:pPr>
      <w:r>
        <w:rPr>
          <w:rFonts w:ascii="Calibri" w:cs="Calibri" w:eastAsia="Calibri" w:hAnsi="Calibri"/>
          <w:sz w:val="22"/>
          <w:szCs w:val="22"/>
        </w:rPr>
        <w:t xml:space="preserve">Integrate previously disconnected functions — sourcing, grading, packaging, and last-mile delivery — into one coordinated process owned by FreshCrate.</w:t>
      </w:r>
    </w:p>
    <w:p>
      <w:pPr>
        <w:pStyle w:val="ListParagraph"/>
        <w:numPr>
          <w:ilvl w:val="0"/>
          <w:numId w:val="1"/>
        </w:numPr>
        <w:spacing w:after="100" w:line="276"/>
      </w:pPr>
      <w:r>
        <w:rPr>
          <w:rFonts w:ascii="Calibri" w:cs="Calibri" w:eastAsia="Calibri" w:hAnsi="Calibri"/>
          <w:sz w:val="22"/>
          <w:szCs w:val="22"/>
        </w:rPr>
        <w:t xml:space="preserve">Automate scheduling, inventory tracking, and payment collection (including mobile money) to reduce manual coordination and error.</w:t>
      </w:r>
    </w:p>
    <w:p>
      <w:pPr>
        <w:pStyle w:val="Heading1"/>
        <w:spacing w:after="180" w:before="360"/>
      </w:pPr>
      <w:r>
        <w:t xml:space="preserve">3. Introduction / Background</w:t>
      </w:r>
    </w:p>
    <w:p>
      <w:pPr>
        <w:pStyle w:val="Heading2"/>
        <w:spacing w:after="120" w:before="240"/>
      </w:pPr>
      <w:r>
        <w:t xml:space="preserve">3.1 Context</w:t>
      </w:r>
    </w:p>
    <w:p>
      <w:pPr>
        <w:spacing w:after="160" w:line="276"/>
      </w:pPr>
      <w:r>
        <w:rPr>
          <w:rFonts w:ascii="Calibri" w:cs="Calibri" w:eastAsia="Calibri" w:hAnsi="Calibri"/>
          <w:sz w:val="22"/>
          <w:szCs w:val="22"/>
        </w:rPr>
        <w:t xml:space="preserve">Agriculture remains a cornerstone of Ghana's economy, employing a large share of the rural workforce and supplying the bulk of the fresh fruit and vegetables consumed in Accra and other urban centres. Produce typically moves from smallholder farms through a chain of intermediaries — local aggregators, wholesalers at markets such as Agbogbloshie and Madina, and retail traders — before reaching the final consumer. Each additional handling step adds time, cost, and risk of spoilage, particularly for highly perishable crops such as tomatoes, leafy greens, and mangoes.</w:t>
      </w:r>
    </w:p>
    <w:p>
      <w:pPr>
        <w:pStyle w:val="Heading2"/>
        <w:spacing w:after="120" w:before="240"/>
      </w:pPr>
      <w:r>
        <w:t xml:space="preserve">3.2 Key Challenges in the Current System</w:t>
      </w:r>
    </w:p>
    <w:p>
      <w:pPr>
        <w:pStyle w:val="ListParagraph"/>
        <w:numPr>
          <w:ilvl w:val="0"/>
          <w:numId w:val="1"/>
        </w:numPr>
        <w:spacing w:after="100" w:line="276"/>
      </w:pPr>
      <w:r>
        <w:rPr>
          <w:rFonts w:ascii="Calibri" w:cs="Calibri" w:eastAsia="Calibri" w:hAnsi="Calibri"/>
          <w:sz w:val="22"/>
          <w:szCs w:val="22"/>
        </w:rPr>
        <w:t xml:space="preserve">Inconsistent quality: Produce quality varies widely between market stalls and even between visits to the same stall, with no standardized grading.</w:t>
      </w:r>
    </w:p>
    <w:p>
      <w:pPr>
        <w:pStyle w:val="ListParagraph"/>
        <w:numPr>
          <w:ilvl w:val="0"/>
          <w:numId w:val="1"/>
        </w:numPr>
        <w:spacing w:after="100" w:line="276"/>
      </w:pPr>
      <w:r>
        <w:rPr>
          <w:rFonts w:ascii="Calibri" w:cs="Calibri" w:eastAsia="Calibri" w:hAnsi="Calibri"/>
          <w:sz w:val="22"/>
          <w:szCs w:val="22"/>
        </w:rPr>
        <w:t xml:space="preserve">High post-harvest losses: Independent estimates place annual post-harvest losses in Ghana at approximately US$1.9 billion, with loss rates of 20–50% for perishable crops, driven by poor storage, handling, and transport infrastructure.</w:t>
      </w:r>
    </w:p>
    <w:p>
      <w:pPr>
        <w:pStyle w:val="ListParagraph"/>
        <w:numPr>
          <w:ilvl w:val="0"/>
          <w:numId w:val="1"/>
        </w:numPr>
        <w:spacing w:after="100" w:line="276"/>
      </w:pPr>
      <w:r>
        <w:rPr>
          <w:rFonts w:ascii="Calibri" w:cs="Calibri" w:eastAsia="Calibri" w:hAnsi="Calibri"/>
          <w:sz w:val="22"/>
          <w:szCs w:val="22"/>
        </w:rPr>
        <w:t xml:space="preserve">Inconvenience for buyers: Urban households and small restaurants must travel to congested markets, often multiple times per week, to source fresh produce, at a significant time cost.</w:t>
      </w:r>
    </w:p>
    <w:p>
      <w:pPr>
        <w:pStyle w:val="ListParagraph"/>
        <w:numPr>
          <w:ilvl w:val="0"/>
          <w:numId w:val="1"/>
        </w:numPr>
        <w:spacing w:after="100" w:line="276"/>
      </w:pPr>
      <w:r>
        <w:rPr>
          <w:rFonts w:ascii="Calibri" w:cs="Calibri" w:eastAsia="Calibri" w:hAnsi="Calibri"/>
          <w:sz w:val="22"/>
          <w:szCs w:val="22"/>
        </w:rPr>
        <w:t xml:space="preserve">Farmer market access issues: Smallholder farmers frequently lack direct access to urban buyers and are price takers at the farm gate, losing an estimated 30% of potential income to inefficiencies in the chain.</w:t>
      </w:r>
    </w:p>
    <w:p>
      <w:pPr>
        <w:pStyle w:val="Heading2"/>
        <w:spacing w:after="120" w:before="240"/>
      </w:pPr>
      <w:r>
        <w:t xml:space="preserve">3.3 Rationale for Selecting FreshCrate for BPR</w:t>
      </w:r>
    </w:p>
    <w:p>
      <w:pPr>
        <w:spacing w:after="160" w:line="276"/>
      </w:pPr>
      <w:r>
        <w:rPr>
          <w:rFonts w:ascii="Calibri" w:cs="Calibri" w:eastAsia="Calibri" w:hAnsi="Calibri"/>
          <w:sz w:val="22"/>
          <w:szCs w:val="22"/>
        </w:rPr>
        <w:t xml:space="preserve">FreshCrate was selected as the subject of this Business Process Reengineering exercise because its core value proposition depends entirely on redesigning an existing, inefficient process (the traditional farm-to-market supply chain) rather than simply digitizing it. The scale of the underlying problem (a documented multi-billion-dollar annual loss), the clear presence of non-value-adding steps in the current chain, and the availability of accessible enabling technology (mobile money, route optimization, e-commerce) in Accra make this an ideal candidate for demonstrating radical, technology-enabled process redesign rather than incremental improvement.</w:t>
      </w:r>
    </w:p>
    <w:p>
      <w:pPr>
        <w:pStyle w:val="Heading2"/>
        <w:spacing w:after="120" w:before="240"/>
      </w:pPr>
      <w:r>
        <w:t xml:space="preserve">3.4 Project Scope and Objectives</w:t>
      </w:r>
    </w:p>
    <w:p>
      <w:pPr>
        <w:spacing w:after="160" w:line="276"/>
      </w:pPr>
      <w:r>
        <w:rPr>
          <w:rFonts w:ascii="Calibri" w:cs="Calibri" w:eastAsia="Calibri" w:hAnsi="Calibri"/>
          <w:sz w:val="22"/>
          <w:szCs w:val="22"/>
        </w:rPr>
        <w:t xml:space="preserve">This report examines the current ("as-is") fresh produce supply process as it affects urban Accra consumers, designs a reengineered ("to-be") process for FreshCrate, and evaluates the business, operational, and technological changes required to implement it. The scope covers sourcing, quality control, order management, and last-mile delivery for the Greater Accra Region; it excludes long-haul inter-regional logistics and export markets, which are outside FreshCrate's initial operating model.</w:t>
      </w:r>
    </w:p>
    <w:p>
      <w:pPr>
        <w:spacing w:after="160" w:line="276"/>
      </w:pPr>
      <w:r>
        <w:rPr>
          <w:rFonts w:ascii="Calibri" w:cs="Calibri" w:eastAsia="Calibri" w:hAnsi="Calibri"/>
          <w:b/>
          <w:bCs/>
          <w:sz w:val="22"/>
          <w:szCs w:val="22"/>
        </w:rPr>
        <w:t xml:space="preserve">Objectives: </w:t>
      </w:r>
      <w:r>
        <w:rPr>
          <w:rFonts w:ascii="Calibri" w:cs="Calibri" w:eastAsia="Calibri" w:hAnsi="Calibri"/>
          <w:sz w:val="22"/>
          <w:szCs w:val="22"/>
        </w:rPr>
        <w:t xml:space="preserve">(1) Map and diagnose inefficiencies in the current produce supply chain; (2) design a reengineered process built around FreshCrate's subscription model; (3) identify the technology and organizational changes required; (4) propose an implementation roadmap and measurable performance targets.</w:t>
      </w:r>
    </w:p>
    <w:p>
      <w:pPr>
        <w:pStyle w:val="Heading1"/>
        <w:spacing w:after="180" w:before="360"/>
      </w:pPr>
      <w:r>
        <w:t xml:space="preserve">4. Business Overview</w:t>
      </w:r>
    </w:p>
    <w:p>
      <w:pPr>
        <w:pStyle w:val="Heading2"/>
        <w:spacing w:after="120" w:before="240"/>
      </w:pPr>
      <w:r>
        <w:t xml:space="preserve">4.1 Vision and Mission</w:t>
      </w:r>
    </w:p>
    <w:p>
      <w:pPr>
        <w:spacing w:after="160" w:line="276"/>
      </w:pPr>
      <w:r>
        <w:rPr>
          <w:rFonts w:ascii="Calibri" w:cs="Calibri" w:eastAsia="Calibri" w:hAnsi="Calibri"/>
          <w:b/>
          <w:bCs/>
          <w:sz w:val="22"/>
          <w:szCs w:val="22"/>
        </w:rPr>
        <w:t xml:space="preserve">Vision: </w:t>
      </w:r>
      <w:r>
        <w:rPr>
          <w:rFonts w:ascii="Calibri" w:cs="Calibri" w:eastAsia="Calibri" w:hAnsi="Calibri"/>
          <w:sz w:val="22"/>
          <w:szCs w:val="22"/>
        </w:rPr>
        <w:t xml:space="preserve">To become Accra's most trusted source of fresh, fairly-sourced produce, making farm-fresh food as convenient as a subscription.</w:t>
      </w:r>
    </w:p>
    <w:p>
      <w:pPr>
        <w:spacing w:after="160" w:line="276"/>
      </w:pPr>
      <w:r>
        <w:rPr>
          <w:rFonts w:ascii="Calibri" w:cs="Calibri" w:eastAsia="Calibri" w:hAnsi="Calibri"/>
          <w:b/>
          <w:bCs/>
          <w:sz w:val="22"/>
          <w:szCs w:val="22"/>
        </w:rPr>
        <w:t xml:space="preserve">Mission: </w:t>
      </w:r>
      <w:r>
        <w:rPr>
          <w:rFonts w:ascii="Calibri" w:cs="Calibri" w:eastAsia="Calibri" w:hAnsi="Calibri"/>
          <w:sz w:val="22"/>
          <w:szCs w:val="22"/>
        </w:rPr>
        <w:t xml:space="preserve">To reduce food waste and improve farmer incomes by directly connecting Ghanaian farms to urban households and restaurants through a reliable, technology-enabled subscription delivery service.</w:t>
      </w:r>
    </w:p>
    <w:p>
      <w:pPr>
        <w:pStyle w:val="Heading2"/>
        <w:spacing w:after="120" w:before="240"/>
      </w:pPr>
      <w:r>
        <w:t xml:space="preserve">4.2 Business Model</w:t>
      </w:r>
    </w:p>
    <w:p>
      <w:pPr>
        <w:spacing w:after="160" w:line="276"/>
      </w:pPr>
      <w:r>
        <w:rPr>
          <w:rFonts w:ascii="Calibri" w:cs="Calibri" w:eastAsia="Calibri" w:hAnsi="Calibri"/>
          <w:sz w:val="22"/>
          <w:szCs w:val="22"/>
        </w:rPr>
        <w:t xml:space="preserve">FreshCrate operates a subscription-plus-delivery model. Customers subscribe to a recurring weekly or bi-weekly "crate" of fresh produce, paid for on a rolling basis via mobile money or card. FreshCrate aggregates produce from a curated network of partner farms, consolidates and grades it at a central packing hub in Accra, and delivers directly to the customer's home or business on a fixed schedule. This model shifts FreshCrate's revenue from one-off transactions to predictable recurring income, and allows demand to be forecast and matched to farm supply in advance, which is the central mechanism for reducing waste.</w:t>
      </w:r>
    </w:p>
    <w:p>
      <w:pPr>
        <w:pStyle w:val="Heading2"/>
        <w:spacing w:after="120" w:before="240"/>
      </w:pPr>
      <w:r>
        <w:t xml:space="preserve">4.3 Products / Services</w:t>
      </w:r>
    </w:p>
    <w:p>
      <w:pPr>
        <w:pStyle w:val="ListParagraph"/>
        <w:numPr>
          <w:ilvl w:val="0"/>
          <w:numId w:val="1"/>
        </w:numPr>
        <w:spacing w:after="100" w:line="276"/>
      </w:pPr>
      <w:r>
        <w:rPr>
          <w:rFonts w:ascii="Calibri" w:cs="Calibri" w:eastAsia="Calibri" w:hAnsi="Calibri"/>
          <w:sz w:val="22"/>
          <w:szCs w:val="22"/>
        </w:rPr>
        <w:t xml:space="preserve">Weekly standard crates (fixed seasonal mix of fruits and vegetables).</w:t>
      </w:r>
    </w:p>
    <w:p>
      <w:pPr>
        <w:pStyle w:val="ListParagraph"/>
        <w:numPr>
          <w:ilvl w:val="0"/>
          <w:numId w:val="1"/>
        </w:numPr>
        <w:spacing w:after="100" w:line="276"/>
      </w:pPr>
      <w:r>
        <w:rPr>
          <w:rFonts w:ascii="Calibri" w:cs="Calibri" w:eastAsia="Calibri" w:hAnsi="Calibri"/>
          <w:sz w:val="22"/>
          <w:szCs w:val="22"/>
        </w:rPr>
        <w:t xml:space="preserve">Customizable crates (customers select preferred items and swap out unwanted produce).</w:t>
      </w:r>
    </w:p>
    <w:p>
      <w:pPr>
        <w:pStyle w:val="ListParagraph"/>
        <w:numPr>
          <w:ilvl w:val="0"/>
          <w:numId w:val="1"/>
        </w:numPr>
        <w:spacing w:after="100" w:line="276"/>
      </w:pPr>
      <w:r>
        <w:rPr>
          <w:rFonts w:ascii="Calibri" w:cs="Calibri" w:eastAsia="Calibri" w:hAnsi="Calibri"/>
          <w:sz w:val="22"/>
          <w:szCs w:val="22"/>
        </w:rPr>
        <w:t xml:space="preserve">Add-ons: eggs, local honey, herbs, and pantry staples sourced from partner producers.</w:t>
      </w:r>
    </w:p>
    <w:p>
      <w:pPr>
        <w:pStyle w:val="ListParagraph"/>
        <w:numPr>
          <w:ilvl w:val="0"/>
          <w:numId w:val="1"/>
        </w:numPr>
        <w:spacing w:after="100" w:line="276"/>
      </w:pPr>
      <w:r>
        <w:rPr>
          <w:rFonts w:ascii="Calibri" w:cs="Calibri" w:eastAsia="Calibri" w:hAnsi="Calibri"/>
          <w:sz w:val="22"/>
          <w:szCs w:val="22"/>
        </w:rPr>
        <w:t xml:space="preserve">Restaurant/bulk crates: larger, standardized volumes for small restaurants and caterers with consistent weekly ordering.</w:t>
      </w:r>
    </w:p>
    <w:p>
      <w:pPr>
        <w:pStyle w:val="Heading2"/>
        <w:spacing w:after="120" w:before="240"/>
      </w:pPr>
      <w:r>
        <w:t xml:space="preserve">4.4 Target Customers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50"/>
      </w:tblGrid>
      <w:tr>
        <w:trPr>
          <w:tblHeader/>
        </w:trPr>
        <w:tc>
          <w:tcPr>
            <w:tcW w:type="dxa" w:w="30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Segment</w:t>
            </w:r>
          </w:p>
        </w:tc>
        <w:tc>
          <w:tcPr>
            <w:tcW w:type="dxa" w:w="42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Description</w:t>
            </w:r>
          </w:p>
        </w:tc>
        <w:tc>
          <w:tcPr>
            <w:tcW w:type="dxa" w:w="215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Primary Need</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Urban households</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Middle- and upper-income households in Accra (e.g., East Legon, Cantonments, Airport Residential) seeking convenience and food quality.</w:t>
            </w:r>
          </w:p>
        </w:tc>
        <w:tc>
          <w:tcPr>
            <w:tcW w:type="dxa" w:w="21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Time savings, quality assurance, reliability</w:t>
            </w:r>
          </w:p>
        </w:tc>
      </w:tr>
      <w:tr>
        <w:tc>
          <w:tcPr>
            <w:tcW w:type="dxa" w:w="30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Small restaurants &amp; caterers</w:t>
            </w:r>
          </w:p>
        </w:tc>
        <w:tc>
          <w:tcPr>
            <w:tcW w:type="dxa" w:w="42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Independent restaurants and catering businesses needing consistent, predictable fresh produce supply.</w:t>
            </w:r>
          </w:p>
        </w:tc>
        <w:tc>
          <w:tcPr>
            <w:tcW w:type="dxa" w:w="215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Cost predictability, consistent volume/quality</w:t>
            </w:r>
          </w:p>
        </w:tc>
      </w:tr>
    </w:tbl>
    <w:p>
      <w:pPr>
        <w:pStyle w:val="Heading2"/>
        <w:spacing w:after="120" w:before="240"/>
      </w:pPr>
      <w:r>
        <w:t xml:space="preserve">4.5 Unique Value Proposition</w:t>
      </w:r>
    </w:p>
    <w:p>
      <w:pPr>
        <w:spacing w:after="160" w:line="276"/>
      </w:pPr>
      <w:r>
        <w:rPr>
          <w:rFonts w:ascii="Calibri" w:cs="Calibri" w:eastAsia="Calibri" w:hAnsi="Calibri"/>
          <w:sz w:val="22"/>
          <w:szCs w:val="22"/>
        </w:rPr>
        <w:t xml:space="preserve">FreshCrate offers farm-fresh produce delivered within 48 hours of harvest, at transparent and consistent pricing, without the time cost of visiting a market — combining the quality of direct farm sourcing with the convenience of a modern subscription service.</w:t>
      </w:r>
    </w:p>
    <w:p>
      <w:pPr>
        <w:pStyle w:val="Heading2"/>
        <w:spacing w:after="120" w:before="240"/>
      </w:pPr>
      <w:r>
        <w:t xml:space="preserve">4.6 Revenue Streams and Pricing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50"/>
      </w:tblGrid>
      <w:tr>
        <w:trPr>
          <w:tblHeader/>
        </w:trPr>
        <w:tc>
          <w:tcPr>
            <w:tcW w:type="dxa" w:w="32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Crate Type</w:t>
            </w:r>
          </w:p>
        </w:tc>
        <w:tc>
          <w:tcPr>
            <w:tcW w:type="dxa" w:w="32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Target Segment</w:t>
            </w:r>
          </w:p>
        </w:tc>
        <w:tc>
          <w:tcPr>
            <w:tcW w:type="dxa" w:w="295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Indicative Price (GH₵ / week)</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Small household crate</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1–2 person household</w:t>
            </w:r>
          </w:p>
        </w:tc>
        <w:tc>
          <w:tcPr>
            <w:tcW w:type="dxa" w:w="29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GH₵ 180 – 220</w:t>
            </w:r>
          </w:p>
        </w:tc>
      </w:tr>
      <w:tr>
        <w:tc>
          <w:tcPr>
            <w:tcW w:type="dxa" w:w="32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Family crate</w:t>
            </w:r>
          </w:p>
        </w:tc>
        <w:tc>
          <w:tcPr>
            <w:tcW w:type="dxa" w:w="32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3–5 person household</w:t>
            </w:r>
          </w:p>
        </w:tc>
        <w:tc>
          <w:tcPr>
            <w:tcW w:type="dxa" w:w="295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GH₵ 250 – 300</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Custom / premium crate</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Households wanting selection control</w:t>
            </w:r>
          </w:p>
        </w:tc>
        <w:tc>
          <w:tcPr>
            <w:tcW w:type="dxa" w:w="29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GH₵ 280 – 350</w:t>
            </w:r>
          </w:p>
        </w:tc>
      </w:tr>
      <w:tr>
        <w:tc>
          <w:tcPr>
            <w:tcW w:type="dxa" w:w="32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Restaurant / bulk crate</w:t>
            </w:r>
          </w:p>
        </w:tc>
        <w:tc>
          <w:tcPr>
            <w:tcW w:type="dxa" w:w="32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Small restaurants, caterers</w:t>
            </w:r>
          </w:p>
        </w:tc>
        <w:tc>
          <w:tcPr>
            <w:tcW w:type="dxa" w:w="295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Custom quote, billed weekly/monthly</w:t>
            </w:r>
          </w:p>
        </w:tc>
      </w:tr>
    </w:tbl>
    <w:p>
      <w:pPr>
        <w:spacing w:after="160" w:line="276"/>
      </w:pPr>
      <w:r>
        <w:rPr>
          <w:rFonts w:ascii="Calibri" w:cs="Calibri" w:eastAsia="Calibri" w:hAnsi="Calibri"/>
          <w:sz w:val="22"/>
          <w:szCs w:val="22"/>
        </w:rPr>
        <w:t xml:space="preserve">Additional revenue is generated through add-on products and, over time, through a small commission built into partner-farm pricing rather than charged separately to consumers.</w:t>
      </w:r>
    </w:p>
    <w:p>
      <w:pPr>
        <w:pStyle w:val="Heading2"/>
        <w:spacing w:after="120" w:before="240"/>
      </w:pPr>
      <w:r>
        <w:t xml:space="preserve">4.7 Key Resources and Partners</w:t>
      </w:r>
    </w:p>
    <w:p>
      <w:pPr>
        <w:pStyle w:val="ListParagraph"/>
        <w:numPr>
          <w:ilvl w:val="0"/>
          <w:numId w:val="1"/>
        </w:numPr>
        <w:spacing w:after="100" w:line="276"/>
      </w:pPr>
      <w:r>
        <w:rPr>
          <w:rFonts w:ascii="Calibri" w:cs="Calibri" w:eastAsia="Calibri" w:hAnsi="Calibri"/>
          <w:sz w:val="22"/>
          <w:szCs w:val="22"/>
        </w:rPr>
        <w:t xml:space="preserve">Partner farms across Greater Accra and nearby regions supplying contracted produce volumes, plus a central packing/grading hub.</w:t>
      </w:r>
    </w:p>
    <w:p>
      <w:pPr>
        <w:pStyle w:val="ListParagraph"/>
        <w:numPr>
          <w:ilvl w:val="0"/>
          <w:numId w:val="1"/>
        </w:numPr>
        <w:spacing w:after="100" w:line="276"/>
      </w:pPr>
      <w:r>
        <w:rPr>
          <w:rFonts w:ascii="Calibri" w:cs="Calibri" w:eastAsia="Calibri" w:hAnsi="Calibri"/>
          <w:sz w:val="22"/>
          <w:szCs w:val="22"/>
        </w:rPr>
        <w:t xml:space="preserve">Logistics/delivery capacity (in-house riders/vans initially) and biodegradable/reusable packaging suppliers.</w:t>
      </w:r>
    </w:p>
    <w:p>
      <w:pPr>
        <w:pStyle w:val="ListParagraph"/>
        <w:numPr>
          <w:ilvl w:val="0"/>
          <w:numId w:val="1"/>
        </w:numPr>
        <w:spacing w:after="100" w:line="276"/>
      </w:pPr>
      <w:r>
        <w:rPr>
          <w:rFonts w:ascii="Calibri" w:cs="Calibri" w:eastAsia="Calibri" w:hAnsi="Calibri"/>
          <w:sz w:val="22"/>
          <w:szCs w:val="22"/>
        </w:rPr>
        <w:t xml:space="preserve">A digital platform (website and mobile-money-enabled checkout) for subscriptions and order management.</w:t>
      </w:r>
    </w:p>
    <w:p>
      <w:pPr>
        <w:pStyle w:val="Heading2"/>
        <w:spacing w:after="120" w:before="240"/>
      </w:pPr>
      <w:r>
        <w:t xml:space="preserve">4.8 Competitive Advantage</w:t>
      </w:r>
    </w:p>
    <w:p>
      <w:pPr>
        <w:pStyle w:val="ListParagraph"/>
        <w:numPr>
          <w:ilvl w:val="0"/>
          <w:numId w:val="1"/>
        </w:numPr>
        <w:spacing w:after="100" w:line="276"/>
      </w:pPr>
      <w:r>
        <w:rPr>
          <w:rFonts w:ascii="Calibri" w:cs="Calibri" w:eastAsia="Calibri" w:hAnsi="Calibri"/>
          <w:sz w:val="22"/>
          <w:szCs w:val="22"/>
        </w:rPr>
        <w:t xml:space="preserve">Direct farm relationships shorten the supply chain versus traditional markets and most delivery apps, while subscription-based demand forecasting reduces both waste and stock-outs.</w:t>
      </w:r>
    </w:p>
    <w:p>
      <w:pPr>
        <w:pStyle w:val="ListParagraph"/>
        <w:numPr>
          <w:ilvl w:val="0"/>
          <w:numId w:val="1"/>
        </w:numPr>
        <w:spacing w:after="100" w:line="276"/>
      </w:pPr>
      <w:r>
        <w:rPr>
          <w:rFonts w:ascii="Calibri" w:cs="Calibri" w:eastAsia="Calibri" w:hAnsi="Calibri"/>
          <w:sz w:val="22"/>
          <w:szCs w:val="22"/>
        </w:rPr>
        <w:t xml:space="preserve">Standardized quality grading builds trust that open-air markets structurally cannot offer.</w:t>
      </w:r>
    </w:p>
    <w:p>
      <w:pPr>
        <w:pStyle w:val="Heading1"/>
        <w:spacing w:after="180" w:before="360"/>
      </w:pPr>
      <w:r>
        <w:t xml:space="preserve">5. Market Analysis</w:t>
      </w:r>
    </w:p>
    <w:p>
      <w:pPr>
        <w:pStyle w:val="Heading2"/>
        <w:spacing w:after="120" w:before="240"/>
      </w:pPr>
      <w:r>
        <w:t xml:space="preserve">5.1 Industry Overview</w:t>
      </w:r>
    </w:p>
    <w:p>
      <w:pPr>
        <w:spacing w:after="160" w:line="276"/>
      </w:pPr>
      <w:r>
        <w:rPr>
          <w:rFonts w:ascii="Calibri" w:cs="Calibri" w:eastAsia="Calibri" w:hAnsi="Calibri"/>
          <w:sz w:val="22"/>
          <w:szCs w:val="22"/>
        </w:rPr>
        <w:t xml:space="preserve">Ghana's fresh produce sector is large but structurally fragmented, dominated by smallholder farmers and multi-tier informal trading networks. Consumption of fresh fruit and vegetables in Accra is high and growing with urbanization, but the supply chain has not modernized at the same pace, leaving significant inefficiency and loss embedded in the system — reflected in the sector-wide postharvest loss figures cited in Sections 2 and 3.</w:t>
      </w:r>
    </w:p>
    <w:p>
      <w:pPr>
        <w:pStyle w:val="Heading2"/>
        <w:spacing w:after="120" w:before="240"/>
      </w:pPr>
      <w:r>
        <w:t xml:space="preserve">5.2 Target Market Size and Trends</w:t>
      </w:r>
    </w:p>
    <w:p>
      <w:pPr>
        <w:pStyle w:val="ListParagraph"/>
        <w:numPr>
          <w:ilvl w:val="0"/>
          <w:numId w:val="1"/>
        </w:numPr>
        <w:spacing w:after="100" w:line="276"/>
      </w:pPr>
      <w:r>
        <w:rPr>
          <w:rFonts w:ascii="Calibri" w:cs="Calibri" w:eastAsia="Calibri" w:hAnsi="Calibri"/>
          <w:sz w:val="22"/>
          <w:szCs w:val="22"/>
        </w:rPr>
        <w:t xml:space="preserve">Rising urban middle class in Accra with increasing disposable income and rising demand for convenience-oriented services (ride-hailing, food delivery, e-commerce).</w:t>
      </w:r>
    </w:p>
    <w:p>
      <w:pPr>
        <w:pStyle w:val="ListParagraph"/>
        <w:numPr>
          <w:ilvl w:val="0"/>
          <w:numId w:val="1"/>
        </w:numPr>
        <w:spacing w:after="100" w:line="276"/>
      </w:pPr>
      <w:r>
        <w:rPr>
          <w:rFonts w:ascii="Calibri" w:cs="Calibri" w:eastAsia="Calibri" w:hAnsi="Calibri"/>
          <w:sz w:val="22"/>
          <w:szCs w:val="22"/>
        </w:rPr>
        <w:t xml:space="preserve">Growing smartphone and mobile money penetration, enabling digital subscription and cashless payment models.</w:t>
      </w:r>
    </w:p>
    <w:p>
      <w:pPr>
        <w:pStyle w:val="ListParagraph"/>
        <w:numPr>
          <w:ilvl w:val="0"/>
          <w:numId w:val="1"/>
        </w:numPr>
        <w:spacing w:after="100" w:line="276"/>
      </w:pPr>
      <w:r>
        <w:rPr>
          <w:rFonts w:ascii="Calibri" w:cs="Calibri" w:eastAsia="Calibri" w:hAnsi="Calibri"/>
          <w:sz w:val="22"/>
          <w:szCs w:val="22"/>
        </w:rPr>
        <w:t xml:space="preserve">Increasing consumer awareness of food quality, freshness, and, among a smaller segment, sustainability and support for local farmers.</w:t>
      </w:r>
    </w:p>
    <w:p>
      <w:pPr>
        <w:pStyle w:val="Heading2"/>
        <w:spacing w:after="120" w:before="240"/>
      </w:pPr>
      <w:r>
        <w:t xml:space="preserve">5.3 Competitor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50"/>
      </w:tblGrid>
      <w:tr>
        <w:trPr>
          <w:tblHeader/>
        </w:trPr>
        <w:tc>
          <w:tcPr>
            <w:tcW w:type="dxa" w:w="22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Competitor Type</w:t>
            </w:r>
          </w:p>
        </w:tc>
        <w:tc>
          <w:tcPr>
            <w:tcW w:type="dxa" w:w="26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Examples / Description</w:t>
            </w:r>
          </w:p>
        </w:tc>
        <w:tc>
          <w:tcPr>
            <w:tcW w:type="dxa" w:w="22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Strengths</w:t>
            </w:r>
          </w:p>
        </w:tc>
        <w:tc>
          <w:tcPr>
            <w:tcW w:type="dxa" w:w="235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Weaknesses (relative to FreshCrate)</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Traditional open markets</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Agbogbloshie, Madina Market, local neighbourhood markets</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Low prices, wide selection, established trust</w:t>
            </w:r>
          </w:p>
        </w:tc>
        <w:tc>
          <w:tcPr>
            <w:tcW w:type="dxa" w:w="23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Inconsistent quality, time-consuming, no delivery, no guarantee of freshness</w:t>
            </w:r>
          </w:p>
        </w:tc>
      </w:tr>
      <w:tr>
        <w:tc>
          <w:tcPr>
            <w:tcW w:type="dxa" w:w="22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Supermarkets</w:t>
            </w:r>
          </w:p>
        </w:tc>
        <w:tc>
          <w:tcPr>
            <w:tcW w:type="dxa" w:w="26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Shoprite, Maxmart, MaxMart-style chains, local supermarket chains</w:t>
            </w:r>
          </w:p>
        </w:tc>
        <w:tc>
          <w:tcPr>
            <w:tcW w:type="dxa" w:w="22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Convenience of one-stop shopping, some quality control</w:t>
            </w:r>
          </w:p>
        </w:tc>
        <w:tc>
          <w:tcPr>
            <w:tcW w:type="dxa" w:w="235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Higher prices, produce often not farm-direct, limited freshness guarantees</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Existing delivery/e-commerce services</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General grocery delivery apps operating in Accra</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Established delivery infrastructure, brand recognition</w:t>
            </w:r>
          </w:p>
        </w:tc>
        <w:tc>
          <w:tcPr>
            <w:tcW w:type="dxa" w:w="23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Not specialized in fresh produce, limited farm-direct sourcing, generic assortments</w:t>
            </w:r>
          </w:p>
        </w:tc>
      </w:tr>
    </w:tbl>
    <w:p>
      <w:pPr>
        <w:pStyle w:val="Heading2"/>
        <w:spacing w:after="120" w:before="240"/>
      </w:pPr>
      <w:r>
        <w:t xml:space="preserve">5.4 SWOT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Strengths</w:t>
            </w:r>
          </w:p>
        </w:tc>
        <w:tc>
          <w:tcPr>
            <w:tcW w:type="dxa" w:w="4675"/>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Weaknesses</w:t>
            </w:r>
          </w:p>
        </w:tc>
      </w:tr>
      <w:tr>
        <w:tc>
          <w:tcPr>
            <w:tcW w:type="dxa" w:w="4675"/>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 Direct farm sourcing shortens the supply chain</w:t>
            </w:r>
          </w:p>
          <w:p>
            <w:pPr>
              <w:spacing w:before="60"/>
              <w:jc w:val="left"/>
            </w:pPr>
            <w:r>
              <w:rPr>
                <w:rFonts w:ascii="Calibri" w:cs="Calibri" w:eastAsia="Calibri" w:hAnsi="Calibri"/>
                <w:b w:val="false"/>
                <w:bCs w:val="false"/>
                <w:color w:val="000000"/>
                <w:sz w:val="20"/>
                <w:szCs w:val="20"/>
              </w:rPr>
              <w:t xml:space="preserve">• Subscription model gives predictable revenue and demand data</w:t>
            </w:r>
          </w:p>
          <w:p>
            <w:pPr>
              <w:spacing w:before="60"/>
              <w:jc w:val="left"/>
            </w:pPr>
            <w:r>
              <w:rPr>
                <w:rFonts w:ascii="Calibri" w:cs="Calibri" w:eastAsia="Calibri" w:hAnsi="Calibri"/>
                <w:b w:val="false"/>
                <w:bCs w:val="false"/>
                <w:color w:val="000000"/>
                <w:sz w:val="20"/>
                <w:szCs w:val="20"/>
              </w:rPr>
              <w:t xml:space="preserve">• Strong social/economic value proposition (reduces waste, raises farmer income)</w:t>
            </w:r>
          </w:p>
        </w:tc>
        <w:tc>
          <w:tcPr>
            <w:tcW w:type="dxa" w:w="4675"/>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 New brand with no existing customer base or trust</w:t>
            </w:r>
          </w:p>
          <w:p>
            <w:pPr>
              <w:spacing w:before="60"/>
              <w:jc w:val="left"/>
            </w:pPr>
            <w:r>
              <w:rPr>
                <w:rFonts w:ascii="Calibri" w:cs="Calibri" w:eastAsia="Calibri" w:hAnsi="Calibri"/>
                <w:b w:val="false"/>
                <w:bCs w:val="false"/>
                <w:color w:val="000000"/>
                <w:sz w:val="20"/>
                <w:szCs w:val="20"/>
              </w:rPr>
              <w:t xml:space="preserve">• Requires reliable cold-chain and logistics investment upfront</w:t>
            </w:r>
          </w:p>
          <w:p>
            <w:pPr>
              <w:spacing w:before="60"/>
              <w:jc w:val="left"/>
            </w:pPr>
            <w:r>
              <w:rPr>
                <w:rFonts w:ascii="Calibri" w:cs="Calibri" w:eastAsia="Calibri" w:hAnsi="Calibri"/>
                <w:b w:val="false"/>
                <w:bCs w:val="false"/>
                <w:color w:val="000000"/>
                <w:sz w:val="20"/>
                <w:szCs w:val="20"/>
              </w:rPr>
              <w:t xml:space="preserve">• Dependent on consistent farm-level supply and quality</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Opportunities</w:t>
            </w:r>
          </w:p>
        </w:tc>
        <w:tc>
          <w:tcPr>
            <w:tcW w:type="dxa" w:w="4675"/>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Threats</w:t>
            </w:r>
          </w:p>
        </w:tc>
      </w:tr>
      <w:tr>
        <w:tc>
          <w:tcPr>
            <w:tcW w:type="dxa" w:w="4675"/>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 Growing urban demand for convenience and quality food</w:t>
            </w:r>
          </w:p>
          <w:p>
            <w:pPr>
              <w:spacing w:before="60"/>
              <w:jc w:val="left"/>
            </w:pPr>
            <w:r>
              <w:rPr>
                <w:rFonts w:ascii="Calibri" w:cs="Calibri" w:eastAsia="Calibri" w:hAnsi="Calibri"/>
                <w:b w:val="false"/>
                <w:bCs w:val="false"/>
                <w:color w:val="000000"/>
                <w:sz w:val="20"/>
                <w:szCs w:val="20"/>
              </w:rPr>
              <w:t xml:space="preserve">• Increasing mobile money adoption simplifies subscription billing</w:t>
            </w:r>
          </w:p>
          <w:p>
            <w:pPr>
              <w:spacing w:before="60"/>
              <w:jc w:val="left"/>
            </w:pPr>
            <w:r>
              <w:rPr>
                <w:rFonts w:ascii="Calibri" w:cs="Calibri" w:eastAsia="Calibri" w:hAnsi="Calibri"/>
                <w:b w:val="false"/>
                <w:bCs w:val="false"/>
                <w:color w:val="000000"/>
                <w:sz w:val="20"/>
                <w:szCs w:val="20"/>
              </w:rPr>
              <w:t xml:space="preserve">• Potential partnerships with government/NGO food-loss reduction initiatives</w:t>
            </w:r>
          </w:p>
        </w:tc>
        <w:tc>
          <w:tcPr>
            <w:tcW w:type="dxa" w:w="4675"/>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 Entry by well-capitalized competitors (supermarket chains, delivery platforms)</w:t>
            </w:r>
          </w:p>
          <w:p>
            <w:pPr>
              <w:spacing w:before="60"/>
              <w:jc w:val="left"/>
            </w:pPr>
            <w:r>
              <w:rPr>
                <w:rFonts w:ascii="Calibri" w:cs="Calibri" w:eastAsia="Calibri" w:hAnsi="Calibri"/>
                <w:b w:val="false"/>
                <w:bCs w:val="false"/>
                <w:color w:val="000000"/>
                <w:sz w:val="20"/>
                <w:szCs w:val="20"/>
              </w:rPr>
              <w:t xml:space="preserve">• Vulnerability to poor roads, fuel costs, and seasonal supply shocks</w:t>
            </w:r>
          </w:p>
          <w:p>
            <w:pPr>
              <w:spacing w:before="60"/>
              <w:jc w:val="left"/>
            </w:pPr>
            <w:r>
              <w:rPr>
                <w:rFonts w:ascii="Calibri" w:cs="Calibri" w:eastAsia="Calibri" w:hAnsi="Calibri"/>
                <w:b w:val="false"/>
                <w:bCs w:val="false"/>
                <w:color w:val="000000"/>
                <w:sz w:val="20"/>
                <w:szCs w:val="20"/>
              </w:rPr>
              <w:t xml:space="preserve">• Customer price sensitivity in a cost-of-living-constrained market</w:t>
            </w:r>
          </w:p>
        </w:tc>
      </w:tr>
    </w:tbl>
    <w:p>
      <w:pPr>
        <w:pStyle w:val="Heading2"/>
        <w:spacing w:after="120" w:before="240"/>
      </w:pPr>
      <w:r>
        <w:t xml:space="preserve">5.5 PESTLE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Factor</w:t>
            </w:r>
          </w:p>
        </w:tc>
        <w:tc>
          <w:tcPr>
            <w:tcW w:type="dxa" w:w="715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Relevance to FreshCrate</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Political</w:t>
            </w:r>
          </w:p>
        </w:tc>
        <w:tc>
          <w:tcPr>
            <w:tcW w:type="dxa" w:w="71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Government agribusiness policy (e.g., support for agro-processing, Buffer Stock Company purchases) can create partnership and funding opportunities; regulatory requirements for food handling and business registration apply.</w:t>
            </w:r>
          </w:p>
        </w:tc>
      </w:tr>
      <w:tr>
        <w:tc>
          <w:tcPr>
            <w:tcW w:type="dxa" w:w="22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Economic</w:t>
            </w:r>
          </w:p>
        </w:tc>
        <w:tc>
          <w:tcPr>
            <w:tcW w:type="dxa" w:w="715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Currency volatility and inflation affect input and fuel costs and consumer purchasing power; mobile money infrastructure lowers transaction costs for subscription billing.</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Social</w:t>
            </w:r>
          </w:p>
        </w:tc>
        <w:tc>
          <w:tcPr>
            <w:tcW w:type="dxa" w:w="71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Urbanization and a growing middle class increase demand for convenience; but the majority of consumers remain highly price-sensitive, requiring a tiered pricing approach.</w:t>
            </w:r>
          </w:p>
        </w:tc>
      </w:tr>
      <w:tr>
        <w:tc>
          <w:tcPr>
            <w:tcW w:type="dxa" w:w="22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Technological</w:t>
            </w:r>
          </w:p>
        </w:tc>
        <w:tc>
          <w:tcPr>
            <w:tcW w:type="dxa" w:w="715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Rising smartphone and mobile money (MoMo) penetration in Accra makes a digital subscription and payment model viable; route-optimization and inventory software reduce delivery cost and waste.</w:t>
            </w:r>
          </w:p>
        </w:tc>
      </w:tr>
    </w:tbl>
    <w:p>
      <w:pPr>
        <w:pStyle w:val="Heading1"/>
        <w:spacing w:after="180" w:before="360"/>
      </w:pPr>
      <w:r>
        <w:t xml:space="preserve">6. Stakeholder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1275"/>
        <w:gridCol w:w="1275"/>
      </w:tblGrid>
      <w:tr>
        <w:trPr>
          <w:tblHeader/>
        </w:trPr>
        <w:tc>
          <w:tcPr>
            <w:tcW w:type="dxa" w:w="26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Stakeholder</w:t>
            </w:r>
          </w:p>
        </w:tc>
        <w:tc>
          <w:tcPr>
            <w:tcW w:type="dxa" w:w="42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Needs / Interests</w:t>
            </w:r>
          </w:p>
        </w:tc>
        <w:tc>
          <w:tcPr>
            <w:tcW w:type="dxa" w:w="1275"/>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Power</w:t>
            </w:r>
          </w:p>
        </w:tc>
        <w:tc>
          <w:tcPr>
            <w:tcW w:type="dxa" w:w="1275"/>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Interest</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Customers (households &amp; restaurants)</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Reliable, high-quality produce delivered on time at fair prices</w:t>
            </w:r>
          </w:p>
        </w:tc>
        <w:tc>
          <w:tcPr>
            <w:tcW w:type="dxa" w:w="1275"/>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High</w:t>
            </w:r>
          </w:p>
        </w:tc>
        <w:tc>
          <w:tcPr>
            <w:tcW w:type="dxa" w:w="1275"/>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26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Partner farmers</w:t>
            </w:r>
          </w:p>
        </w:tc>
        <w:tc>
          <w:tcPr>
            <w:tcW w:type="dxa" w:w="42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Fair, stable pricing; predictable off-take; reduced post-harvest loss</w:t>
            </w:r>
          </w:p>
        </w:tc>
        <w:tc>
          <w:tcPr>
            <w:tcW w:type="dxa" w:w="1275"/>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Medium</w:t>
            </w:r>
          </w:p>
        </w:tc>
        <w:tc>
          <w:tcPr>
            <w:tcW w:type="dxa" w:w="1275"/>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FreshCrate employees (packing, admin)</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Stable employment, manageable workload, clear processes</w:t>
            </w:r>
          </w:p>
        </w:tc>
        <w:tc>
          <w:tcPr>
            <w:tcW w:type="dxa" w:w="1275"/>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Low</w:t>
            </w:r>
          </w:p>
        </w:tc>
        <w:tc>
          <w:tcPr>
            <w:tcW w:type="dxa" w:w="1275"/>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26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Delivery / logistics partners</w:t>
            </w:r>
          </w:p>
        </w:tc>
        <w:tc>
          <w:tcPr>
            <w:tcW w:type="dxa" w:w="42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Efficient routing, fair compensation, manageable volumes</w:t>
            </w:r>
          </w:p>
        </w:tc>
        <w:tc>
          <w:tcPr>
            <w:tcW w:type="dxa" w:w="1275"/>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Medium</w:t>
            </w:r>
          </w:p>
        </w:tc>
        <w:tc>
          <w:tcPr>
            <w:tcW w:type="dxa" w:w="1275"/>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Medium</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Management / founders</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Sustainable growth, profitability, brand reputation</w:t>
            </w:r>
          </w:p>
        </w:tc>
        <w:tc>
          <w:tcPr>
            <w:tcW w:type="dxa" w:w="1275"/>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High</w:t>
            </w:r>
          </w:p>
        </w:tc>
        <w:tc>
          <w:tcPr>
            <w:tcW w:type="dxa" w:w="1275"/>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High</w:t>
            </w:r>
          </w:p>
        </w:tc>
      </w:tr>
      <w:tr>
        <w:tc>
          <w:tcPr>
            <w:tcW w:type="dxa" w:w="26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Regulators / local government</w:t>
            </w:r>
          </w:p>
        </w:tc>
        <w:tc>
          <w:tcPr>
            <w:tcW w:type="dxa" w:w="42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Compliance with food safety, business, and transport regulations</w:t>
            </w:r>
          </w:p>
        </w:tc>
        <w:tc>
          <w:tcPr>
            <w:tcW w:type="dxa" w:w="1275"/>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High</w:t>
            </w:r>
          </w:p>
        </w:tc>
        <w:tc>
          <w:tcPr>
            <w:tcW w:type="dxa" w:w="1275"/>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Low</w:t>
            </w:r>
          </w:p>
        </w:tc>
      </w:tr>
    </w:tbl>
    <w:p>
      <w:pPr>
        <w:spacing w:after="160" w:line="276"/>
      </w:pPr>
      <w:r>
        <w:rPr>
          <w:rFonts w:ascii="Calibri" w:cs="Calibri" w:eastAsia="Calibri" w:hAnsi="Calibri"/>
          <w:sz w:val="22"/>
          <w:szCs w:val="22"/>
        </w:rPr>
        <w:t xml:space="preserve">Customers and farmers together represent the highest-interest, and jointly critical, stakeholder pair: the entire viability of the reengineered process depends on simultaneously satisfying consistent farmer off-take and consistent customer delivery. Management retains the highest power and interest and is therefore the primary driver of the change programme described in Section 9.</w:t>
      </w:r>
    </w:p>
    <w:p>
      <w:pPr>
        <w:pStyle w:val="Heading1"/>
        <w:spacing w:after="180" w:before="360"/>
      </w:pPr>
      <w:r>
        <w:t xml:space="preserve">7. Current State (As-Is) Analysis</w:t>
      </w:r>
    </w:p>
    <w:p>
      <w:pPr>
        <w:pStyle w:val="Heading2"/>
        <w:spacing w:after="120" w:before="240"/>
      </w:pPr>
      <w:r>
        <w:t xml:space="preserve">7.1 Description of the Traditional Produce Supply Chain</w:t>
      </w:r>
    </w:p>
    <w:p>
      <w:pPr>
        <w:spacing w:after="160" w:line="276"/>
      </w:pPr>
      <w:r>
        <w:rPr>
          <w:rFonts w:ascii="Calibri" w:cs="Calibri" w:eastAsia="Calibri" w:hAnsi="Calibri"/>
          <w:sz w:val="22"/>
          <w:szCs w:val="22"/>
        </w:rPr>
        <w:t xml:space="preserve">In the current, pre-FreshCrate environment, fresh produce moves from farm to consumer through a multi-tier chain involving several independent intermediaries, each adding time, handling, and cost without adding proportional value or quality assurance.</w:t>
      </w:r>
    </w:p>
    <w:p>
      <w:pPr>
        <w:pStyle w:val="Heading2"/>
        <w:spacing w:after="120" w:before="240"/>
      </w:pPr>
      <w:r>
        <w:t xml:space="preserve">7.2 As-Is Process 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000"/>
      </w:tblGrid>
      <w:tr>
        <w:tc>
          <w:tcPr>
            <w:tcW w:type="dxa" w:w="700"/>
            <w:shd w:fill="2E7D4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1</w:t>
            </w:r>
          </w:p>
        </w:tc>
        <w:tc>
          <w:tcPr>
            <w:tcW w:type="dxa" w:w="2650"/>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Harvest at farm</w:t>
            </w:r>
          </w:p>
        </w:tc>
        <w:tc>
          <w:tcPr>
            <w:tcW w:type="dxa" w:w="6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Farmer harvests with limited on-farm storage/cooling; timing driven by labour availability, not demand.</w:t>
            </w:r>
          </w:p>
        </w:tc>
      </w:tr>
      <w:tr>
        <w:tc>
          <w:tcPr>
            <w:tcW w:type="dxa" w:w="700"/>
            <w:shd w:fill="2E7D4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2</w:t>
            </w:r>
          </w:p>
        </w:tc>
        <w:tc>
          <w:tcPr>
            <w:tcW w:type="dxa" w:w="2650"/>
            <w:shd w:fill="EAF3EC"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Farm-gate sale to aggregator</w:t>
            </w:r>
          </w:p>
        </w:tc>
        <w:tc>
          <w:tcPr>
            <w:tcW w:type="dxa" w:w="60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Farmer sells to a local buying agent at a negotiated, often disadvantageous spot price; no grading.</w:t>
            </w:r>
          </w:p>
        </w:tc>
      </w:tr>
      <w:tr>
        <w:tc>
          <w:tcPr>
            <w:tcW w:type="dxa" w:w="700"/>
            <w:shd w:fill="2E7D4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3</w:t>
            </w:r>
          </w:p>
        </w:tc>
        <w:tc>
          <w:tcPr>
            <w:tcW w:type="dxa" w:w="2650"/>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Transport to urban market</w:t>
            </w:r>
          </w:p>
        </w:tc>
        <w:tc>
          <w:tcPr>
            <w:tcW w:type="dxa" w:w="6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Mixed loads moved on poor roads, usually without refrigeration, over several hours.</w:t>
            </w:r>
          </w:p>
        </w:tc>
      </w:tr>
      <w:tr>
        <w:tc>
          <w:tcPr>
            <w:tcW w:type="dxa" w:w="700"/>
            <w:shd w:fill="2E7D4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4</w:t>
            </w:r>
          </w:p>
        </w:tc>
        <w:tc>
          <w:tcPr>
            <w:tcW w:type="dxa" w:w="2650"/>
            <w:shd w:fill="EAF3EC"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Wholesale trading</w:t>
            </w:r>
          </w:p>
        </w:tc>
        <w:tc>
          <w:tcPr>
            <w:tcW w:type="dxa" w:w="60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Produce sold again to wholesalers/market queens at markets such as Agbogbloshie/Madina; further delay.</w:t>
            </w:r>
          </w:p>
        </w:tc>
      </w:tr>
      <w:tr>
        <w:tc>
          <w:tcPr>
            <w:tcW w:type="dxa" w:w="700"/>
            <w:shd w:fill="2E7D4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5</w:t>
            </w:r>
          </w:p>
        </w:tc>
        <w:tc>
          <w:tcPr>
            <w:tcW w:type="dxa" w:w="2650"/>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Retail trading at stalls</w:t>
            </w:r>
          </w:p>
        </w:tc>
        <w:tc>
          <w:tcPr>
            <w:tcW w:type="dxa" w:w="6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Small traders buy smaller lots and display produce in open-air, non-refrigerated conditions.</w:t>
            </w:r>
          </w:p>
        </w:tc>
      </w:tr>
      <w:tr>
        <w:tc>
          <w:tcPr>
            <w:tcW w:type="dxa" w:w="700"/>
            <w:shd w:fill="2E7D4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6</w:t>
            </w:r>
          </w:p>
        </w:tc>
        <w:tc>
          <w:tcPr>
            <w:tcW w:type="dxa" w:w="2650"/>
            <w:shd w:fill="EAF3EC"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Consumer purchase</w:t>
            </w:r>
          </w:p>
        </w:tc>
        <w:tc>
          <w:tcPr>
            <w:tcW w:type="dxa" w:w="60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Buyer travels to market, spends time selecting/negotiating, and transports produce home.</w:t>
            </w:r>
          </w:p>
        </w:tc>
      </w:tr>
    </w:tbl>
    <w:p>
      <w:pPr>
        <w:pStyle w:val="Heading2"/>
        <w:spacing w:after="120" w:before="240"/>
      </w:pPr>
      <w:r>
        <w:t xml:space="preserve">7.3 Problems and Bottlenecks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50"/>
      </w:tblGrid>
      <w:tr>
        <w:trPr>
          <w:tblHeader/>
        </w:trPr>
        <w:tc>
          <w:tcPr>
            <w:tcW w:type="dxa" w:w="24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Bottleneck</w:t>
            </w:r>
          </w:p>
        </w:tc>
        <w:tc>
          <w:tcPr>
            <w:tcW w:type="dxa" w:w="34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Description</w:t>
            </w:r>
          </w:p>
        </w:tc>
        <w:tc>
          <w:tcPr>
            <w:tcW w:type="dxa" w:w="355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Impact</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Multiple intermediary handoffs</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Produce changes hands 3–4 times between farm and consumer</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Cumulative delay of 4–7 days; each handoff adds spoilage risk</w:t>
            </w:r>
          </w:p>
        </w:tc>
      </w:tr>
      <w:tr>
        <w:tc>
          <w:tcPr>
            <w:tcW w:type="dxa" w:w="24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 cold chain</w:t>
            </w:r>
          </w:p>
        </w:tc>
        <w:tc>
          <w:tcPr>
            <w:tcW w:type="dxa" w:w="34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Produce transported and stored without refrigeration</w:t>
            </w:r>
          </w:p>
        </w:tc>
        <w:tc>
          <w:tcPr>
            <w:tcW w:type="dxa" w:w="355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Accelerated spoilage, quality degradation</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 standardized grading</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Quality varies stall-to-stall with no consistent standard</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Consumer distrust, inconsistent experience</w:t>
            </w:r>
          </w:p>
        </w:tc>
      </w:tr>
      <w:tr>
        <w:tc>
          <w:tcPr>
            <w:tcW w:type="dxa" w:w="24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Manual, cash-based transactions</w:t>
            </w:r>
          </w:p>
        </w:tc>
        <w:tc>
          <w:tcPr>
            <w:tcW w:type="dxa" w:w="34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Pricing negotiated informally at each stage</w:t>
            </w:r>
          </w:p>
        </w:tc>
        <w:tc>
          <w:tcPr>
            <w:tcW w:type="dxa" w:w="355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Price volatility, lack of transparency, farmer income leakage</w:t>
            </w:r>
          </w:p>
        </w:tc>
      </w:tr>
      <w:tr>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No demand forecasting</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Farmers grow/harvest without visibility into actual urban demand</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Oversupply/undersupply mismatches, waste</w:t>
            </w:r>
          </w:p>
        </w:tc>
      </w:tr>
      <w:tr>
        <w:tc>
          <w:tcPr>
            <w:tcW w:type="dxa" w:w="24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Consumer time cost</w:t>
            </w:r>
          </w:p>
        </w:tc>
        <w:tc>
          <w:tcPr>
            <w:tcW w:type="dxa" w:w="34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Buyers must physically visit markets, often multiple times weekly</w:t>
            </w:r>
          </w:p>
        </w:tc>
        <w:tc>
          <w:tcPr>
            <w:tcW w:type="dxa" w:w="355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High opportunity cost, inconvenience</w:t>
            </w:r>
          </w:p>
        </w:tc>
      </w:tr>
    </w:tbl>
    <w:p>
      <w:pPr>
        <w:pStyle w:val="Heading2"/>
        <w:spacing w:after="120" w:before="240"/>
      </w:pPr>
      <w:r>
        <w:t xml:space="preserve">7.4 Current-State Performance Metrics (Baseline Estimates)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0"/>
        <w:gridCol w:w="4850"/>
      </w:tblGrid>
      <w:tr>
        <w:trPr>
          <w:tblHeader/>
        </w:trPr>
        <w:tc>
          <w:tcPr>
            <w:tcW w:type="dxa" w:w="45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Metric</w:t>
            </w:r>
          </w:p>
        </w:tc>
        <w:tc>
          <w:tcPr>
            <w:tcW w:type="dxa" w:w="485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Current (As-Is) Estimate</w:t>
            </w:r>
          </w:p>
        </w:tc>
      </w:tr>
      <w:tr>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Farm-to-consumer cycle time</w:t>
            </w:r>
          </w:p>
        </w:tc>
        <w:tc>
          <w:tcPr>
            <w:tcW w:type="dxa" w:w="48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4–7 days</w:t>
            </w:r>
          </w:p>
        </w:tc>
      </w:tr>
      <w:tr>
        <w:tc>
          <w:tcPr>
            <w:tcW w:type="dxa" w:w="45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Post-harvest/in-chain loss rate</w:t>
            </w:r>
          </w:p>
        </w:tc>
        <w:tc>
          <w:tcPr>
            <w:tcW w:type="dxa" w:w="485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20% – 50% of harvested volume (sector-wide estimate)</w:t>
            </w:r>
          </w:p>
        </w:tc>
      </w:tr>
      <w:tr>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Annual value of national post-harvest losses</w:t>
            </w:r>
          </w:p>
        </w:tc>
        <w:tc>
          <w:tcPr>
            <w:tcW w:type="dxa" w:w="48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 US$1.9 billion (WFP / AGRA / Danish Embassy estimates)</w:t>
            </w:r>
          </w:p>
        </w:tc>
      </w:tr>
      <w:tr>
        <w:tc>
          <w:tcPr>
            <w:tcW w:type="dxa" w:w="45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Farmer income loss due to inefficiency</w:t>
            </w:r>
          </w:p>
        </w:tc>
        <w:tc>
          <w:tcPr>
            <w:tcW w:type="dxa" w:w="485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 30% of potential income</w:t>
            </w:r>
          </w:p>
        </w:tc>
      </w:tr>
      <w:tr>
        <w:tc>
          <w:tcPr>
            <w:tcW w:type="dxa" w:w="4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Consumer time spent per shopping trip</w:t>
            </w:r>
          </w:p>
        </w:tc>
        <w:tc>
          <w:tcPr>
            <w:tcW w:type="dxa" w:w="48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45–90 minutes, typically 2–3 trips per week</w:t>
            </w:r>
          </w:p>
        </w:tc>
      </w:tr>
      <w:tr>
        <w:tc>
          <w:tcPr>
            <w:tcW w:type="dxa" w:w="45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Price transparency / consistency</w:t>
            </w:r>
          </w:p>
        </w:tc>
        <w:tc>
          <w:tcPr>
            <w:tcW w:type="dxa" w:w="485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Low — prices vary by stall, day, and negotiation</w:t>
            </w:r>
          </w:p>
        </w:tc>
      </w:tr>
    </w:tbl>
    <w:p>
      <w:pPr>
        <w:pStyle w:val="Heading1"/>
        <w:spacing w:after="180" w:before="360"/>
      </w:pPr>
      <w:r>
        <w:t xml:space="preserve">8. Future State (To-Be) Design</w:t>
      </w:r>
    </w:p>
    <w:p>
      <w:pPr>
        <w:pStyle w:val="Heading2"/>
        <w:spacing w:after="120" w:before="240"/>
      </w:pPr>
      <w:r>
        <w:t xml:space="preserve">8.1 Reengineered Process Overview</w:t>
      </w:r>
    </w:p>
    <w:p>
      <w:pPr>
        <w:spacing w:after="160" w:line="276"/>
      </w:pPr>
      <w:r>
        <w:rPr>
          <w:rFonts w:ascii="Calibri" w:cs="Calibri" w:eastAsia="Calibri" w:hAnsi="Calibri"/>
          <w:sz w:val="22"/>
          <w:szCs w:val="22"/>
        </w:rPr>
        <w:t xml:space="preserve">The to-be process consolidates sourcing, quality control, packing, and delivery under FreshCrate's direct control, replacing the fragmented multi-intermediary chain with a single, digitally coordinated flow driven by subscription demand rather than speculative farm-gate sales.</w:t>
      </w:r>
    </w:p>
    <w:p>
      <w:pPr>
        <w:pStyle w:val="Heading2"/>
        <w:spacing w:after="120" w:before="240"/>
      </w:pPr>
      <w:r>
        <w:t xml:space="preserve">8.2 To-Be Process 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000"/>
      </w:tblGrid>
      <w:tr>
        <w:tc>
          <w:tcPr>
            <w:tcW w:type="dxa" w:w="700"/>
            <w:shd w:fill="2E7D4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1</w:t>
            </w:r>
          </w:p>
        </w:tc>
        <w:tc>
          <w:tcPr>
            <w:tcW w:type="dxa" w:w="2650"/>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Demand forecast &amp; farm order</w:t>
            </w:r>
          </w:p>
        </w:tc>
        <w:tc>
          <w:tcPr>
            <w:tcW w:type="dxa" w:w="6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Platform aggregates confirmed weekly orders and auto-generates a purchase order to partner farms 5–7 days ahead, replacing guesswork with real demand data.</w:t>
            </w:r>
          </w:p>
        </w:tc>
      </w:tr>
      <w:tr>
        <w:tc>
          <w:tcPr>
            <w:tcW w:type="dxa" w:w="700"/>
            <w:shd w:fill="2E7D4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2</w:t>
            </w:r>
          </w:p>
        </w:tc>
        <w:tc>
          <w:tcPr>
            <w:tcW w:type="dxa" w:w="2650"/>
            <w:shd w:fill="EAF3EC"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Scheduled harvest &amp; pickup</w:t>
            </w:r>
          </w:p>
        </w:tc>
        <w:tc>
          <w:tcPr>
            <w:tcW w:type="dxa" w:w="60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Farmers harvest to a confirmed order; FreshCrate logistics collects directly from the farm gate, eliminating the local-aggregator handoff.</w:t>
            </w:r>
          </w:p>
        </w:tc>
      </w:tr>
      <w:tr>
        <w:tc>
          <w:tcPr>
            <w:tcW w:type="dxa" w:w="700"/>
            <w:shd w:fill="2E7D4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3</w:t>
            </w:r>
          </w:p>
        </w:tc>
        <w:tc>
          <w:tcPr>
            <w:tcW w:type="dxa" w:w="2650"/>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Hub receiving &amp; grading</w:t>
            </w:r>
          </w:p>
        </w:tc>
        <w:tc>
          <w:tcPr>
            <w:tcW w:type="dxa" w:w="6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Produce reaches the Accra packing hub within hours of harvest; standardized grading and cold storage applied on arrival.</w:t>
            </w:r>
          </w:p>
        </w:tc>
      </w:tr>
      <w:tr>
        <w:tc>
          <w:tcPr>
            <w:tcW w:type="dxa" w:w="700"/>
            <w:shd w:fill="2E7D4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4</w:t>
            </w:r>
          </w:p>
        </w:tc>
        <w:tc>
          <w:tcPr>
            <w:tcW w:type="dxa" w:w="2650"/>
            <w:shd w:fill="EAF3EC"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Crate assembly &amp; inventory update</w:t>
            </w:r>
          </w:p>
        </w:tc>
        <w:tc>
          <w:tcPr>
            <w:tcW w:type="dxa" w:w="60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Crates are assembled against each order; the inventory system updates in real time, feeding the next demand forecast.</w:t>
            </w:r>
          </w:p>
        </w:tc>
      </w:tr>
      <w:tr>
        <w:tc>
          <w:tcPr>
            <w:tcW w:type="dxa" w:w="700"/>
            <w:shd w:fill="2E7D4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5</w:t>
            </w:r>
          </w:p>
        </w:tc>
        <w:tc>
          <w:tcPr>
            <w:tcW w:type="dxa" w:w="2650"/>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Route-optimized delivery</w:t>
            </w:r>
          </w:p>
        </w:tc>
        <w:tc>
          <w:tcPr>
            <w:tcW w:type="dxa" w:w="6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Route-optimization software batches deliveries by zone and dispatches riders/vans on the most efficient route.</w:t>
            </w:r>
          </w:p>
        </w:tc>
      </w:tr>
      <w:tr>
        <w:tc>
          <w:tcPr>
            <w:tcW w:type="dxa" w:w="700"/>
            <w:shd w:fill="2E7D4F"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6</w:t>
            </w:r>
          </w:p>
        </w:tc>
        <w:tc>
          <w:tcPr>
            <w:tcW w:type="dxa" w:w="2650"/>
            <w:shd w:fill="EAF3EC"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Delivery, payment &amp; feedback</w:t>
            </w:r>
          </w:p>
        </w:tc>
        <w:tc>
          <w:tcPr>
            <w:tcW w:type="dxa" w:w="60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Produce delivered to the door; MoMo auto-billing on the subscription cycle; feedback data flows back into forecasting.</w:t>
            </w:r>
          </w:p>
        </w:tc>
      </w:tr>
    </w:tbl>
    <w:p>
      <w:pPr>
        <w:pStyle w:val="Heading2"/>
        <w:spacing w:after="120" w:before="240"/>
      </w:pPr>
      <w:r>
        <w:t xml:space="preserve">8.3 Technology Enablement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Technology</w:t>
            </w:r>
          </w:p>
        </w:tc>
        <w:tc>
          <w:tcPr>
            <w:tcW w:type="dxa" w:w="615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Role in the Reengineered Process</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Subscription website / app</w:t>
            </w:r>
          </w:p>
        </w:tc>
        <w:tc>
          <w:tcPr>
            <w:tcW w:type="dxa" w:w="61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Central point for sign-up, customization, order scheduling, and delivery tracking</w:t>
            </w:r>
          </w:p>
        </w:tc>
      </w:tr>
      <w:tr>
        <w:tc>
          <w:tcPr>
            <w:tcW w:type="dxa" w:w="32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Mobile money (MoMo) integration</w:t>
            </w:r>
          </w:p>
        </w:tc>
        <w:tc>
          <w:tcPr>
            <w:tcW w:type="dxa" w:w="615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Automated, cashless recurring billing; removes manual cash handling and reconciliation</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Inventory / warehouse management system</w:t>
            </w:r>
          </w:p>
        </w:tc>
        <w:tc>
          <w:tcPr>
            <w:tcW w:type="dxa" w:w="61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Real-time tracking of stock at the hub; links confirmed orders directly to farm purchase orders</w:t>
            </w:r>
          </w:p>
        </w:tc>
      </w:tr>
      <w:tr>
        <w:tc>
          <w:tcPr>
            <w:tcW w:type="dxa" w:w="32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Route-optimization / delivery-management software</w:t>
            </w:r>
          </w:p>
        </w:tc>
        <w:tc>
          <w:tcPr>
            <w:tcW w:type="dxa" w:w="615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Minimizes delivery time and fuel cost by batching orders into efficient zone-based routes</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Basic cold-chain equipment (chillers, insulated crates)</w:t>
            </w:r>
          </w:p>
        </w:tc>
        <w:tc>
          <w:tcPr>
            <w:tcW w:type="dxa" w:w="61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Preserves quality between hub receiving and customer delivery</w:t>
            </w:r>
          </w:p>
        </w:tc>
      </w:tr>
    </w:tbl>
    <w:p>
      <w:pPr>
        <w:pStyle w:val="Heading2"/>
        <w:spacing w:after="120" w:before="240"/>
      </w:pPr>
      <w:r>
        <w:t xml:space="preserve">8.4 Radical Improvements through BPR Principles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BPR Principle</w:t>
            </w:r>
          </w:p>
        </w:tc>
        <w:tc>
          <w:tcPr>
            <w:tcW w:type="dxa" w:w="715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Application in FreshCrate's Redesign</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Eliminate</w:t>
            </w:r>
          </w:p>
        </w:tc>
        <w:tc>
          <w:tcPr>
            <w:tcW w:type="dxa" w:w="71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Removes the local aggregator, wholesaler, and independent retailer layers entirely — FreshCrate deals directly with farms and consumers.</w:t>
            </w:r>
          </w:p>
        </w:tc>
      </w:tr>
      <w:tr>
        <w:tc>
          <w:tcPr>
            <w:tcW w:type="dxa" w:w="22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Simplify</w:t>
            </w:r>
          </w:p>
        </w:tc>
        <w:tc>
          <w:tcPr>
            <w:tcW w:type="dxa" w:w="715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Replaces multiple informal, cash-based negotiations with a single fixed subscription price and one standardized order-to-delivery workflow.</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Integrate</w:t>
            </w:r>
          </w:p>
        </w:tc>
        <w:tc>
          <w:tcPr>
            <w:tcW w:type="dxa" w:w="71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Combines sourcing, grading, packing, and delivery into one internally-owned process instead of separate, uncoordinated actors.</w:t>
            </w:r>
          </w:p>
        </w:tc>
      </w:tr>
      <w:tr>
        <w:tc>
          <w:tcPr>
            <w:tcW w:type="dxa" w:w="22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Automate</w:t>
            </w:r>
          </w:p>
        </w:tc>
        <w:tc>
          <w:tcPr>
            <w:tcW w:type="dxa" w:w="715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Uses the digital platform to automate demand forecasting, purchase order generation, billing, and delivery routing, reducing manual coordination and error.</w:t>
            </w:r>
          </w:p>
        </w:tc>
      </w:tr>
    </w:tbl>
    <w:p>
      <w:pPr>
        <w:spacing w:after="160" w:line="276"/>
      </w:pPr>
      <w:r>
        <w:rPr>
          <w:rFonts w:ascii="Calibri" w:cs="Calibri" w:eastAsia="Calibri" w:hAnsi="Calibri"/>
          <w:sz w:val="22"/>
          <w:szCs w:val="22"/>
        </w:rPr>
        <w:t xml:space="preserve">Collectively, these changes are designed to reduce the farm-to-consumer cycle time from 4–7 days to under 48 hours, and to cut in-chain produce loss substantially by matching supply to confirmed demand rather than speculative market sales — directly addressing the root causes of Ghana's estimated US$1.9 billion annual post-harvest loss within FreshCrate's own supply chain.</w:t>
      </w:r>
    </w:p>
    <w:p>
      <w:pPr>
        <w:pStyle w:val="Heading1"/>
        <w:spacing w:after="180" w:before="360"/>
      </w:pPr>
      <w:r>
        <w:t xml:space="preserve">9. Implementation Plan</w:t>
      </w:r>
    </w:p>
    <w:p>
      <w:pPr>
        <w:pStyle w:val="Heading2"/>
        <w:spacing w:after="120" w:before="240"/>
      </w:pPr>
      <w:r>
        <w:t xml:space="preserve">9.1 Phased Rollout</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2200"/>
        <w:gridCol w:w="5500"/>
        <w:gridCol w:w="1850"/>
      </w:tblGrid>
      <w:tr>
        <w:trPr>
          <w:tblHeader/>
        </w:trPr>
        <w:tc>
          <w:tcPr>
            <w:tcW w:type="dxa" w:w="22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Phase</w:t>
            </w:r>
          </w:p>
        </w:tc>
        <w:tc>
          <w:tcPr>
            <w:tcW w:type="dxa" w:w="55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Focus</w:t>
            </w:r>
          </w:p>
        </w:tc>
        <w:tc>
          <w:tcPr>
            <w:tcW w:type="dxa" w:w="185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Indicative Duration</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Phase 1 — MVP</w:t>
            </w:r>
          </w:p>
        </w:tc>
        <w:tc>
          <w:tcPr>
            <w:tcW w:type="dxa" w:w="5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Build subscription website/app, onboard 3–5 partner farms, manual/semi-automated packing and delivery in a limited zone of Accra (e.g., East Legon, Cantonments)</w:t>
            </w:r>
          </w:p>
        </w:tc>
        <w:tc>
          <w:tcPr>
            <w:tcW w:type="dxa" w:w="18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Months 1–3</w:t>
            </w:r>
          </w:p>
        </w:tc>
      </w:tr>
      <w:tr>
        <w:tc>
          <w:tcPr>
            <w:tcW w:type="dxa" w:w="22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Phase 2 — Pilot</w:t>
            </w:r>
          </w:p>
        </w:tc>
        <w:tc>
          <w:tcPr>
            <w:tcW w:type="dxa" w:w="55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Expand to 150–300 subscribers across a wider Accra zone, introduce basic inventory system and MoMo auto-billing, gather performance data</w:t>
            </w:r>
          </w:p>
        </w:tc>
        <w:tc>
          <w:tcPr>
            <w:tcW w:type="dxa" w:w="185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Months 4–7</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Phase 3 — Scale-up</w:t>
            </w:r>
          </w:p>
        </w:tc>
        <w:tc>
          <w:tcPr>
            <w:tcW w:type="dxa" w:w="5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Expand farm network, introduce route-optimization software, extend to restaurant/bulk segment, expand delivery zones across Accra</w:t>
            </w:r>
          </w:p>
        </w:tc>
        <w:tc>
          <w:tcPr>
            <w:tcW w:type="dxa" w:w="18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Months 8–14</w:t>
            </w:r>
          </w:p>
        </w:tc>
      </w:tr>
    </w:tbl>
    <w:p>
      <w:pPr>
        <w:pStyle w:val="Heading2"/>
        <w:spacing w:after="120" w:before="240"/>
      </w:pPr>
      <w:r>
        <w:t xml:space="preserve">9.2 Change Management Strategy</w:t>
      </w:r>
    </w:p>
    <w:p>
      <w:pPr>
        <w:pStyle w:val="ListParagraph"/>
        <w:numPr>
          <w:ilvl w:val="0"/>
          <w:numId w:val="1"/>
        </w:numPr>
        <w:spacing w:after="100" w:line="276"/>
      </w:pPr>
      <w:r>
        <w:rPr>
          <w:rFonts w:ascii="Calibri" w:cs="Calibri" w:eastAsia="Calibri" w:hAnsi="Calibri"/>
          <w:sz w:val="22"/>
          <w:szCs w:val="22"/>
        </w:rPr>
        <w:t xml:space="preserve">Farmer engagement: structured onboarding and training for partner farms on harvest scheduling, grading standards, and pickup logistics, supported by clear, fair pricing agreements to build trust.</w:t>
      </w:r>
    </w:p>
    <w:p>
      <w:pPr>
        <w:pStyle w:val="ListParagraph"/>
        <w:numPr>
          <w:ilvl w:val="0"/>
          <w:numId w:val="1"/>
        </w:numPr>
        <w:spacing w:after="100" w:line="276"/>
      </w:pPr>
      <w:r>
        <w:rPr>
          <w:rFonts w:ascii="Calibri" w:cs="Calibri" w:eastAsia="Calibri" w:hAnsi="Calibri"/>
          <w:sz w:val="22"/>
          <w:szCs w:val="22"/>
        </w:rPr>
        <w:t xml:space="preserve">Staff training: standard operating procedures for hub grading/packing staff and delivery riders, with clear KPIs and feedback channels.</w:t>
      </w:r>
    </w:p>
    <w:p>
      <w:pPr>
        <w:pStyle w:val="ListParagraph"/>
        <w:numPr>
          <w:ilvl w:val="0"/>
          <w:numId w:val="1"/>
        </w:numPr>
        <w:spacing w:after="100" w:line="276"/>
      </w:pPr>
      <w:r>
        <w:rPr>
          <w:rFonts w:ascii="Calibri" w:cs="Calibri" w:eastAsia="Calibri" w:hAnsi="Calibri"/>
          <w:sz w:val="22"/>
          <w:szCs w:val="22"/>
        </w:rPr>
        <w:t xml:space="preserve">Customer communication: transparent onboarding on how the subscription and delivery model works, with responsive customer support during the pilot phase to build trust in a new service.</w:t>
      </w:r>
    </w:p>
    <w:p>
      <w:pPr>
        <w:pStyle w:val="ListParagraph"/>
        <w:numPr>
          <w:ilvl w:val="0"/>
          <w:numId w:val="1"/>
        </w:numPr>
        <w:spacing w:after="100" w:line="276"/>
      </w:pPr>
      <w:r>
        <w:rPr>
          <w:rFonts w:ascii="Calibri" w:cs="Calibri" w:eastAsia="Calibri" w:hAnsi="Calibri"/>
          <w:sz w:val="22"/>
          <w:szCs w:val="22"/>
        </w:rPr>
        <w:t xml:space="preserve">Iterative rollout: phased geographic and volume expansion (Section 9.1) allows operational issues to be identified and corrected before scaling, reducing the risk of a large-scale process failure.</w:t>
      </w:r>
    </w:p>
    <w:p>
      <w:pPr>
        <w:pStyle w:val="Heading2"/>
        <w:spacing w:after="120" w:before="240"/>
      </w:pPr>
      <w:r>
        <w:t xml:space="preserve">9.3 Required Resources</w:t>
      </w:r>
    </w:p>
    <w:p>
      <w:pPr>
        <w:pStyle w:val="ListParagraph"/>
        <w:numPr>
          <w:ilvl w:val="0"/>
          <w:numId w:val="1"/>
        </w:numPr>
        <w:spacing w:after="100" w:line="276"/>
      </w:pPr>
      <w:r>
        <w:rPr>
          <w:rFonts w:ascii="Calibri" w:cs="Calibri" w:eastAsia="Calibri" w:hAnsi="Calibri"/>
          <w:sz w:val="22"/>
          <w:szCs w:val="22"/>
        </w:rPr>
        <w:t xml:space="preserve">Team: operations/logistics manager, hub/packing staff, delivery riders, customer support, and a small technology/platform team (or outsourced developer).</w:t>
      </w:r>
    </w:p>
    <w:p>
      <w:pPr>
        <w:pStyle w:val="ListParagraph"/>
        <w:numPr>
          <w:ilvl w:val="0"/>
          <w:numId w:val="1"/>
        </w:numPr>
        <w:spacing w:after="100" w:line="276"/>
      </w:pPr>
      <w:r>
        <w:rPr>
          <w:rFonts w:ascii="Calibri" w:cs="Calibri" w:eastAsia="Calibri" w:hAnsi="Calibri"/>
          <w:sz w:val="22"/>
          <w:szCs w:val="22"/>
        </w:rPr>
        <w:t xml:space="preserve">Technology: subscription website/app, MoMo payment integration, basic inventory and route-planning software.</w:t>
      </w:r>
    </w:p>
    <w:p>
      <w:pPr>
        <w:pStyle w:val="ListParagraph"/>
        <w:numPr>
          <w:ilvl w:val="0"/>
          <w:numId w:val="1"/>
        </w:numPr>
        <w:spacing w:after="100" w:line="276"/>
      </w:pPr>
      <w:r>
        <w:rPr>
          <w:rFonts w:ascii="Calibri" w:cs="Calibri" w:eastAsia="Calibri" w:hAnsi="Calibri"/>
          <w:sz w:val="22"/>
          <w:szCs w:val="22"/>
        </w:rPr>
        <w:t xml:space="preserve">Capital: initial capital for cold-chain/packing equipment, delivery vehicles or e-bikes, platform development, and working capital to pre-pay farmers ahead of subscriber billing cycles.</w:t>
      </w:r>
    </w:p>
    <w:p>
      <w:pPr>
        <w:pStyle w:val="Heading2"/>
        <w:spacing w:after="120" w:before="240"/>
      </w:pPr>
      <w:r>
        <w:t xml:space="preserve">9.4 Timeline and Milestones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6600"/>
        <w:gridCol w:w="2950"/>
      </w:tblGrid>
      <w:tr>
        <w:trPr>
          <w:tblHeader/>
        </w:trPr>
        <w:tc>
          <w:tcPr>
            <w:tcW w:type="dxa" w:w="66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Milestone</w:t>
            </w:r>
          </w:p>
        </w:tc>
        <w:tc>
          <w:tcPr>
            <w:tcW w:type="dxa" w:w="295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Target Timing</w:t>
            </w:r>
          </w:p>
        </w:tc>
      </w:tr>
      <w:tr>
        <w:tc>
          <w:tcPr>
            <w:tcW w:type="dxa" w:w="6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Platform (website/app) live; first partner farms onboarded</w:t>
            </w:r>
          </w:p>
        </w:tc>
        <w:tc>
          <w:tcPr>
            <w:tcW w:type="dxa" w:w="29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End of Month 2</w:t>
            </w:r>
          </w:p>
        </w:tc>
      </w:tr>
      <w:tr>
        <w:tc>
          <w:tcPr>
            <w:tcW w:type="dxa" w:w="66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First MVP deliveries completed in pilot zone</w:t>
            </w:r>
          </w:p>
        </w:tc>
        <w:tc>
          <w:tcPr>
            <w:tcW w:type="dxa" w:w="295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Month 3</w:t>
            </w:r>
          </w:p>
        </w:tc>
      </w:tr>
      <w:tr>
        <w:tc>
          <w:tcPr>
            <w:tcW w:type="dxa" w:w="6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150+ active subscribers; MoMo auto-billing live</w:t>
            </w:r>
          </w:p>
        </w:tc>
        <w:tc>
          <w:tcPr>
            <w:tcW w:type="dxa" w:w="29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Month 6</w:t>
            </w:r>
          </w:p>
        </w:tc>
      </w:tr>
      <w:tr>
        <w:tc>
          <w:tcPr>
            <w:tcW w:type="dxa" w:w="66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Inventory management system fully integrated with farm ordering</w:t>
            </w:r>
          </w:p>
        </w:tc>
        <w:tc>
          <w:tcPr>
            <w:tcW w:type="dxa" w:w="295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Month 8</w:t>
            </w:r>
          </w:p>
        </w:tc>
      </w:tr>
      <w:tr>
        <w:tc>
          <w:tcPr>
            <w:tcW w:type="dxa" w:w="6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Route-optimization software deployed; restaurant segment launched</w:t>
            </w:r>
          </w:p>
        </w:tc>
        <w:tc>
          <w:tcPr>
            <w:tcW w:type="dxa" w:w="29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Month 11</w:t>
            </w:r>
          </w:p>
        </w:tc>
      </w:tr>
      <w:tr>
        <w:tc>
          <w:tcPr>
            <w:tcW w:type="dxa" w:w="66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City-wide Accra coverage achieved</w:t>
            </w:r>
          </w:p>
        </w:tc>
        <w:tc>
          <w:tcPr>
            <w:tcW w:type="dxa" w:w="295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Month 14</w:t>
            </w:r>
          </w:p>
        </w:tc>
      </w:tr>
    </w:tbl>
    <w:p>
      <w:pPr>
        <w:pStyle w:val="Heading2"/>
        <w:spacing w:after="120" w:before="240"/>
      </w:pPr>
      <w:r>
        <w:t xml:space="preserve">9.5 Risk Analysis and Mitigation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300"/>
      </w:tblGrid>
      <w:tr>
        <w:trPr>
          <w:tblHeader/>
        </w:trPr>
        <w:tc>
          <w:tcPr>
            <w:tcW w:type="dxa" w:w="29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Risk</w:t>
            </w:r>
          </w:p>
        </w:tc>
        <w:tc>
          <w:tcPr>
            <w:tcW w:type="dxa" w:w="15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Likelihood</w:t>
            </w:r>
          </w:p>
        </w:tc>
        <w:tc>
          <w:tcPr>
            <w:tcW w:type="dxa" w:w="43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Mitigation</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Inconsistent farm supply (weather, seasonality)</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Medium</w:t>
            </w:r>
          </w:p>
        </w:tc>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Diversify partner-farm network across regions/crops; maintain buffer stock agreements</w:t>
            </w:r>
          </w:p>
        </w:tc>
      </w:tr>
      <w:tr>
        <w:tc>
          <w:tcPr>
            <w:tcW w:type="dxa" w:w="29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Low initial subscriber uptake</w:t>
            </w:r>
          </w:p>
        </w:tc>
        <w:tc>
          <w:tcPr>
            <w:tcW w:type="dxa" w:w="15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Medium</w:t>
            </w:r>
          </w:p>
        </w:tc>
        <w:tc>
          <w:tcPr>
            <w:tcW w:type="dxa" w:w="43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Start with a tightly-targeted pilot zone and referral incentives; keep pricing competitive during Phase 1–2</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Delivery/logistics delays or cost overruns</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Medium</w:t>
            </w:r>
          </w:p>
        </w:tc>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Use route-optimization software early; start with e-bikes for lower-cost, congestion-resilient delivery</w:t>
            </w:r>
          </w:p>
        </w:tc>
      </w:tr>
      <w:tr>
        <w:tc>
          <w:tcPr>
            <w:tcW w:type="dxa" w:w="29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Cold-chain equipment failure / spoilage at hub</w:t>
            </w:r>
          </w:p>
        </w:tc>
        <w:tc>
          <w:tcPr>
            <w:tcW w:type="dxa" w:w="15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Low–Medium</w:t>
            </w:r>
          </w:p>
        </w:tc>
        <w:tc>
          <w:tcPr>
            <w:tcW w:type="dxa" w:w="43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Preventive maintenance schedule; redundant chiller capacity; produce-specific handling protocols</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Farmer trust / contract non-compliance</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Medium</w:t>
            </w:r>
          </w:p>
        </w:tc>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Transparent, fair pricing agreements; phased volume commitments; regular farmer engagement</w:t>
            </w:r>
          </w:p>
        </w:tc>
      </w:tr>
      <w:tr>
        <w:tc>
          <w:tcPr>
            <w:tcW w:type="dxa" w:w="29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Cash-flow strain from pre-paying farmers</w:t>
            </w:r>
          </w:p>
        </w:tc>
        <w:tc>
          <w:tcPr>
            <w:tcW w:type="dxa" w:w="15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Medium</w:t>
            </w:r>
          </w:p>
        </w:tc>
        <w:tc>
          <w:tcPr>
            <w:tcW w:type="dxa" w:w="43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Stagger payment terms; seek early working-capital financing or grant/partnership support</w:t>
            </w:r>
          </w:p>
        </w:tc>
      </w:tr>
    </w:tbl>
    <w:p>
      <w:pPr>
        <w:pStyle w:val="Heading1"/>
        <w:spacing w:after="180" w:before="360"/>
      </w:pPr>
      <w:r>
        <w:t xml:space="preserve">10. Expected Benefits and Performance Measures</w:t>
      </w:r>
    </w:p>
    <w:p>
      <w:pPr>
        <w:pStyle w:val="Heading2"/>
        <w:spacing w:after="120" w:before="240"/>
      </w:pPr>
      <w:r>
        <w:t xml:space="preserve">10.1 Quantitative Benefits</w:t>
      </w:r>
    </w:p>
    <w:p>
      <w:pPr>
        <w:pStyle w:val="ListParagraph"/>
        <w:numPr>
          <w:ilvl w:val="0"/>
          <w:numId w:val="1"/>
        </w:numPr>
        <w:spacing w:after="100" w:line="276"/>
      </w:pPr>
      <w:r>
        <w:rPr>
          <w:rFonts w:ascii="Calibri" w:cs="Calibri" w:eastAsia="Calibri" w:hAnsi="Calibri"/>
          <w:sz w:val="22"/>
          <w:szCs w:val="22"/>
        </w:rPr>
        <w:t xml:space="preserve">Target reduction in produce waste of approximately 35–40% relative to the traditional market channel baseline, driven by demand-matched purchasing and cold-chain handling.</w:t>
      </w:r>
    </w:p>
    <w:p>
      <w:pPr>
        <w:pStyle w:val="ListParagraph"/>
        <w:numPr>
          <w:ilvl w:val="0"/>
          <w:numId w:val="1"/>
        </w:numPr>
        <w:spacing w:after="100" w:line="276"/>
      </w:pPr>
      <w:r>
        <w:rPr>
          <w:rFonts w:ascii="Calibri" w:cs="Calibri" w:eastAsia="Calibri" w:hAnsi="Calibri"/>
          <w:sz w:val="22"/>
          <w:szCs w:val="22"/>
        </w:rPr>
        <w:t xml:space="preserve">Target reduction in farm-to-consumer cycle time from 4–7 days (as-is) to under 48 hours (to-be).</w:t>
      </w:r>
    </w:p>
    <w:p>
      <w:pPr>
        <w:pStyle w:val="ListParagraph"/>
        <w:numPr>
          <w:ilvl w:val="0"/>
          <w:numId w:val="1"/>
        </w:numPr>
        <w:spacing w:after="100" w:line="276"/>
      </w:pPr>
      <w:r>
        <w:rPr>
          <w:rFonts w:ascii="Calibri" w:cs="Calibri" w:eastAsia="Calibri" w:hAnsi="Calibri"/>
          <w:sz w:val="22"/>
          <w:szCs w:val="22"/>
        </w:rPr>
        <w:t xml:space="preserve">Target increase in effective farm-gate income for partner farmers through stable, pre-agreed pricing rather than volatile spot-market rates.</w:t>
      </w:r>
    </w:p>
    <w:p>
      <w:pPr>
        <w:pStyle w:val="Heading2"/>
        <w:spacing w:after="120" w:before="240"/>
      </w:pPr>
      <w:r>
        <w:t xml:space="preserve">10.2 Key Performance Indicators (KPIs)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5000"/>
        <w:gridCol w:w="4550"/>
      </w:tblGrid>
      <w:tr>
        <w:trPr>
          <w:tblHeader/>
        </w:trPr>
        <w:tc>
          <w:tcPr>
            <w:tcW w:type="dxa" w:w="500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KPI</w:t>
            </w:r>
          </w:p>
        </w:tc>
        <w:tc>
          <w:tcPr>
            <w:tcW w:type="dxa" w:w="4550"/>
            <w:shd w:fill="1F3B57"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Target</w:t>
            </w:r>
          </w:p>
        </w:tc>
      </w:tr>
      <w:tr>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Customer subscription retention rate</w:t>
            </w:r>
          </w:p>
        </w:tc>
        <w:tc>
          <w:tcPr>
            <w:tcW w:type="dxa" w:w="45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 80% month-on-month by end of Phase 2</w:t>
            </w:r>
          </w:p>
        </w:tc>
      </w:tr>
      <w:tr>
        <w:tc>
          <w:tcPr>
            <w:tcW w:type="dxa" w:w="50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On-time delivery rate</w:t>
            </w:r>
          </w:p>
        </w:tc>
        <w:tc>
          <w:tcPr>
            <w:tcW w:type="dxa" w:w="455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 95% of scheduled deliveries</w:t>
            </w:r>
          </w:p>
        </w:tc>
      </w:tr>
      <w:tr>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Produce waste/spoilage rate (hub to customer)</w:t>
            </w:r>
          </w:p>
        </w:tc>
        <w:tc>
          <w:tcPr>
            <w:tcW w:type="dxa" w:w="45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&lt; 10%, versus 20–50% sector baseline</w:t>
            </w:r>
          </w:p>
        </w:tc>
      </w:tr>
      <w:tr>
        <w:tc>
          <w:tcPr>
            <w:tcW w:type="dxa" w:w="50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Farmer income increase (partner farms, vs. spot market)</w:t>
            </w:r>
          </w:p>
        </w:tc>
        <w:tc>
          <w:tcPr>
            <w:tcW w:type="dxa" w:w="455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Target 15–25% uplift</w:t>
            </w:r>
          </w:p>
        </w:tc>
      </w:tr>
      <w:tr>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Farm-to-consumer cycle time</w:t>
            </w:r>
          </w:p>
        </w:tc>
        <w:tc>
          <w:tcPr>
            <w:tcW w:type="dxa" w:w="45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&lt; 48 hours</w:t>
            </w:r>
          </w:p>
        </w:tc>
      </w:tr>
      <w:tr>
        <w:tc>
          <w:tcPr>
            <w:tcW w:type="dxa" w:w="500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Customer satisfaction / Net Promoter Score</w:t>
            </w:r>
          </w:p>
        </w:tc>
        <w:tc>
          <w:tcPr>
            <w:tcW w:type="dxa" w:w="4550"/>
            <w:shd w:fill="EAF3EC"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NPS ≥ 40 by end of pilot</w:t>
            </w:r>
          </w:p>
        </w:tc>
      </w:tr>
    </w:tbl>
    <w:p>
      <w:pPr>
        <w:pStyle w:val="Heading2"/>
        <w:spacing w:after="120" w:before="240"/>
      </w:pPr>
      <w:r>
        <w:t xml:space="preserve">10.3 High-Level ROI Projection</w:t>
      </w:r>
    </w:p>
    <w:p>
      <w:pPr>
        <w:spacing w:after="160" w:line="276"/>
      </w:pPr>
      <w:r>
        <w:rPr>
          <w:rFonts w:ascii="Calibri" w:cs="Calibri" w:eastAsia="Calibri" w:hAnsi="Calibri"/>
          <w:sz w:val="22"/>
          <w:szCs w:val="22"/>
        </w:rPr>
        <w:t xml:space="preserve">With a subscription model generating recurring weekly revenue per household (GH₵ 180–350) and per-restaurant bulk accounts, FreshCrate's unit economics improve as subscriber density per delivery zone increases, since delivery cost per crate falls with route density while farm procurement costs remain relatively fixed per unit volume. Break-even is expected once fixed hub and logistics costs are covered by a critical mass of subscribers in the initial pilot zone (targeted during Phase 2, Section 9.1); detailed financial modelling — unit cost build-up, contribution margin, and payback period — should be developed as a companion financial appendix using pilot-phase actuals rather than assumptions alone.</w:t>
      </w:r>
    </w:p>
    <w:p>
      <w:pPr>
        <w:pStyle w:val="Heading1"/>
        <w:spacing w:after="180" w:before="360"/>
      </w:pPr>
      <w:r>
        <w:t xml:space="preserve">11. Conclusion and Recommendations</w:t>
      </w:r>
    </w:p>
    <w:p>
      <w:pPr>
        <w:spacing w:after="160" w:line="276"/>
      </w:pPr>
      <w:r>
        <w:rPr>
          <w:rFonts w:ascii="Calibri" w:cs="Calibri" w:eastAsia="Calibri" w:hAnsi="Calibri"/>
          <w:sz w:val="22"/>
          <w:szCs w:val="22"/>
        </w:rPr>
        <w:t xml:space="preserve">The traditional fresh produce supply chain serving Accra is structurally inefficient, contributing to Ghana's estimated US$1.9 billion in annual post-harvest losses, inconsistent quality for consumers, and depressed incomes for farmers. FreshCrate's subscription-based, direct-sourcing model is a clear application of Business Process Reengineering principles — eliminating unnecessary intermediaries, simplifying transactions, integrating previously fragmented functions, and automating coordination through digital and mobile money technology.</w:t>
      </w:r>
    </w:p>
    <w:p>
      <w:pPr>
        <w:spacing w:after="160" w:line="276"/>
      </w:pPr>
      <w:r>
        <w:rPr>
          <w:rFonts w:ascii="Calibri" w:cs="Calibri" w:eastAsia="Calibri" w:hAnsi="Calibri"/>
          <w:sz w:val="22"/>
          <w:szCs w:val="22"/>
        </w:rPr>
        <w:t xml:space="preserve">The reengineered process outlined in this report is designed to compress the farm-to-consumer cycle from days to under 48 hours, while creating a fairer, more transparent relationship between farmers and urban consumers. It is recommended that FreshCrate proceed with the phased MVP-to-pilot-to-scale rollout described in Section 9, prioritizing early farmer trust-building and a tightly managed pilot zone before wider expansion, and that the KPIs in Section 10 be tracked from Day 1 of the pilot to validate (and where necessary recalibrate) the assumptions underlying this design.</w:t>
      </w:r>
    </w:p>
    <w:p>
      <w:pPr>
        <w:pStyle w:val="Heading1"/>
        <w:spacing w:after="180" w:before="360"/>
      </w:pPr>
      <w:r>
        <w:t xml:space="preserve">12. References and Appendices</w:t>
      </w:r>
    </w:p>
    <w:p>
      <w:pPr>
        <w:pStyle w:val="Heading2"/>
        <w:spacing w:after="120" w:before="240"/>
      </w:pPr>
      <w:r>
        <w:t xml:space="preserve">12.1 References</w:t>
      </w:r>
    </w:p>
    <w:p>
      <w:pPr>
        <w:pStyle w:val="ListParagraph"/>
        <w:numPr>
          <w:ilvl w:val="0"/>
          <w:numId w:val="1"/>
        </w:numPr>
        <w:spacing w:after="160" w:line="276"/>
      </w:pPr>
      <w:r>
        <w:rPr>
          <w:rFonts w:ascii="Calibri" w:cs="Calibri" w:eastAsia="Calibri" w:hAnsi="Calibri"/>
          <w:sz w:val="22"/>
          <w:szCs w:val="22"/>
        </w:rPr>
        <w:t xml:space="preserve">World Food Programme (WFP) / Ghana News Agency, "Post-harvest losses impoverishing Ghanaian farmers," July 2024 — cites approximately US$1.9 billion lost annually to post-harvest losses in Ghana.</w:t>
      </w:r>
    </w:p>
    <w:p>
      <w:pPr>
        <w:pStyle w:val="ListParagraph"/>
        <w:numPr>
          <w:ilvl w:val="0"/>
          <w:numId w:val="1"/>
        </w:numPr>
        <w:spacing w:after="160" w:line="276"/>
      </w:pPr>
      <w:r>
        <w:rPr>
          <w:rFonts w:ascii="Calibri" w:cs="Calibri" w:eastAsia="Calibri" w:hAnsi="Calibri"/>
          <w:sz w:val="22"/>
          <w:szCs w:val="22"/>
        </w:rPr>
        <w:t xml:space="preserve">Embassy of Denmark in Ghana, "Feasibility Study for Cold Chain Business," 2023 — post-harvest losses of tomato, yam, mango, citrus and chilies estimated at US$1.9 billion per year (yam ≈ US$560m, mango ≈ US$300m, tomato ≈ US$60m).</w:t>
      </w:r>
    </w:p>
    <w:p>
      <w:pPr>
        <w:pStyle w:val="ListParagraph"/>
        <w:numPr>
          <w:ilvl w:val="0"/>
          <w:numId w:val="1"/>
        </w:numPr>
        <w:spacing w:after="160" w:line="276"/>
      </w:pPr>
      <w:r>
        <w:rPr>
          <w:rFonts w:ascii="Calibri" w:cs="Calibri" w:eastAsia="Calibri" w:hAnsi="Calibri"/>
          <w:sz w:val="22"/>
          <w:szCs w:val="22"/>
        </w:rPr>
        <w:t xml:space="preserve">Alliance for a Green Revolution in Africa (AGRA) regional dialogue, Tamale, 2026 — reaffirms the US$1.9 billion annual post-harvest loss figure and notes Ghana imports roughly US$2 billion of food annually to offset domestic losses.</w:t>
      </w:r>
    </w:p>
    <w:p>
      <w:pPr>
        <w:pStyle w:val="ListParagraph"/>
        <w:numPr>
          <w:ilvl w:val="0"/>
          <w:numId w:val="1"/>
        </w:numPr>
        <w:spacing w:after="160" w:line="276"/>
      </w:pPr>
      <w:r>
        <w:rPr>
          <w:rFonts w:ascii="Calibri" w:cs="Calibri" w:eastAsia="Calibri" w:hAnsi="Calibri"/>
          <w:sz w:val="22"/>
          <w:szCs w:val="22"/>
        </w:rPr>
        <w:t xml:space="preserve">Aidoo et al. (2014); academic study on postharvest losses among Ghanaian tomato smallholder farmers — postharvest losses in Ghana estimated at 20%–50% of harvested produce, Journal of Agriculture &amp; Food Research / Cogent Food &amp; Agriculture.</w:t>
      </w:r>
    </w:p>
    <w:p>
      <w:pPr>
        <w:pStyle w:val="Heading2"/>
        <w:spacing w:after="120" w:before="240"/>
      </w:pPr>
      <w:r>
        <w:t xml:space="preserve">12.2 Appendices (to be developed)</w:t>
      </w:r>
    </w:p>
    <w:p>
      <w:pPr>
        <w:pStyle w:val="ListParagraph"/>
        <w:numPr>
          <w:ilvl w:val="0"/>
          <w:numId w:val="1"/>
        </w:numPr>
        <w:spacing w:after="100" w:line="276"/>
      </w:pPr>
      <w:r>
        <w:rPr>
          <w:rFonts w:ascii="Calibri" w:cs="Calibri" w:eastAsia="Calibri" w:hAnsi="Calibri"/>
          <w:sz w:val="22"/>
          <w:szCs w:val="22"/>
        </w:rPr>
        <w:t xml:space="preserve">Appendix A: Detailed BPMN process diagrams for the As-Is and To-Be processes (expand the flow maps in Sections 7.2 and 8.2 into full BPMN notation using a tool such as Lucidchart, Draw.io, or Bizagi).</w:t>
      </w:r>
    </w:p>
    <w:p>
      <w:pPr>
        <w:pStyle w:val="ListParagraph"/>
        <w:numPr>
          <w:ilvl w:val="0"/>
          <w:numId w:val="1"/>
        </w:numPr>
        <w:spacing w:after="100" w:line="276"/>
      </w:pPr>
      <w:r>
        <w:rPr>
          <w:rFonts w:ascii="Calibri" w:cs="Calibri" w:eastAsia="Calibri" w:hAnsi="Calibri"/>
          <w:sz w:val="22"/>
          <w:szCs w:val="22"/>
        </w:rPr>
        <w:t xml:space="preserve">Appendix B: Sample website/app screenshots (subscription sign-up, crate customization, delivery tracking).</w:t>
      </w:r>
    </w:p>
    <w:p>
      <w:pPr>
        <w:pStyle w:val="ListParagraph"/>
        <w:numPr>
          <w:ilvl w:val="0"/>
          <w:numId w:val="1"/>
        </w:numPr>
        <w:spacing w:after="100" w:line="276"/>
      </w:pPr>
      <w:r>
        <w:rPr>
          <w:rFonts w:ascii="Calibri" w:cs="Calibri" w:eastAsia="Calibri" w:hAnsi="Calibri"/>
          <w:sz w:val="22"/>
          <w:szCs w:val="22"/>
        </w:rPr>
        <w:t xml:space="preserve">Appendix C: Full pricing table by crate type, size, and add-on options.</w:t>
      </w:r>
    </w:p>
    <w:p>
      <w:pPr>
        <w:pStyle w:val="ListParagraph"/>
        <w:numPr>
          <w:ilvl w:val="0"/>
          <w:numId w:val="1"/>
        </w:numPr>
        <w:spacing w:after="100" w:line="276"/>
      </w:pPr>
      <w:r>
        <w:rPr>
          <w:rFonts w:ascii="Calibri" w:cs="Calibri" w:eastAsia="Calibri" w:hAnsi="Calibri"/>
          <w:sz w:val="22"/>
          <w:szCs w:val="22"/>
        </w:rPr>
        <w:t xml:space="preserve">Appendix D: Customer/farmer survey questionnaire and summary of any primary research conducted.</w:t>
      </w:r>
    </w:p>
    <w:p>
      <w:pPr>
        <w:pStyle w:val="ListParagraph"/>
        <w:numPr>
          <w:ilvl w:val="0"/>
          <w:numId w:val="1"/>
        </w:numPr>
        <w:spacing w:after="100" w:line="276"/>
      </w:pPr>
      <w:r>
        <w:rPr>
          <w:rFonts w:ascii="Calibri" w:cs="Calibri" w:eastAsia="Calibri" w:hAnsi="Calibri"/>
          <w:sz w:val="22"/>
          <w:szCs w:val="22"/>
        </w:rPr>
        <w:t xml:space="preserve">Appendix E: Detailed financial model (unit economics, break-even analysis, 12–24 month projection).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FreshCrate — BPR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1F3B57" w:sz="6" w:space="4"/>
      </w:pBdr>
      <w:spacing w:after="180" w:before="300"/>
    </w:pPr>
    <w:rPr>
      <w:rFonts w:ascii="Calibri" w:cs="Calibri" w:eastAsia="Calibri" w:hAnsi="Calibri"/>
      <w:b/>
      <w:bCs/>
      <w:color w:val="1F3B57"/>
      <w:sz w:val="32"/>
      <w:szCs w:val="32"/>
    </w:rPr>
  </w:style>
  <w:style w:type="paragraph" w:styleId="Heading2">
    <w:name w:val="Heading 2"/>
    <w:basedOn w:val="Normal"/>
    <w:next w:val="Normal"/>
    <w:qFormat/>
    <w:pPr>
      <w:spacing w:after="120" w:before="240"/>
    </w:pPr>
    <w:rPr>
      <w:rFonts w:ascii="Calibri" w:cs="Calibri" w:eastAsia="Calibri" w:hAnsi="Calibri"/>
      <w:b/>
      <w:bCs/>
      <w:color w:val="2E7D4F"/>
      <w:sz w:val="26"/>
      <w:szCs w:val="26"/>
    </w:rPr>
  </w:style>
  <w:style w:type="paragraph" w:styleId="Heading3">
    <w:name w:val="Heading 3"/>
    <w:basedOn w:val="Normal"/>
    <w:next w:val="Normal"/>
    <w:qFormat/>
    <w:pPr>
      <w:spacing w:after="100" w:before="180"/>
    </w:pPr>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2026-07-18T18:41:44.922Z</dcterms:created>
  <dcterms:modified xsi:type="dcterms:W3CDTF">2026-07-18T18:41:44.923Z</dcterms:modified>
</cp:coreProperties>
</file>

<file path=docProps/custom.xml><?xml version="1.0" encoding="utf-8"?>
<Properties xmlns="http://schemas.openxmlformats.org/officeDocument/2006/custom-properties" xmlns:vt="http://schemas.openxmlformats.org/officeDocument/2006/docPropsVTypes"/>
</file>