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97C74" w14:textId="5725949B" w:rsidR="001C2242" w:rsidRPr="001B21F0" w:rsidRDefault="00C24D61" w:rsidP="004032A9">
      <w:pPr>
        <w:spacing w:after="560" w:line="240" w:lineRule="auto"/>
        <w:rPr>
          <w:rFonts w:ascii="Book Antiqua" w:hAnsi="Book Antiqua" w:cs="Times New Roman"/>
          <w:b/>
          <w:bCs/>
          <w:sz w:val="32"/>
          <w:szCs w:val="32"/>
          <w:lang w:val="en-US"/>
        </w:rPr>
      </w:pPr>
      <w:r w:rsidRPr="001B21F0">
        <w:rPr>
          <w:rFonts w:ascii="Book Antiqua" w:hAnsi="Book Antiqua"/>
          <w:noProof/>
          <w:lang w:eastAsia="nl-NL"/>
        </w:rPr>
        <mc:AlternateContent>
          <mc:Choice Requires="wps">
            <w:drawing>
              <wp:anchor distT="0" distB="0" distL="0" distR="0" simplePos="0" relativeHeight="251658240" behindDoc="1" locked="0" layoutInCell="1" allowOverlap="1" wp14:anchorId="1EBE8677" wp14:editId="21BBF884">
                <wp:simplePos x="0" y="0"/>
                <wp:positionH relativeFrom="column">
                  <wp:posOffset>4731385</wp:posOffset>
                </wp:positionH>
                <wp:positionV relativeFrom="paragraph">
                  <wp:posOffset>31115</wp:posOffset>
                </wp:positionV>
                <wp:extent cx="1544955" cy="1061085"/>
                <wp:effectExtent l="0" t="0" r="0" b="5715"/>
                <wp:wrapTight wrapText="bothSides">
                  <wp:wrapPolygon edited="0">
                    <wp:start x="0" y="0"/>
                    <wp:lineTo x="0" y="21329"/>
                    <wp:lineTo x="21307" y="21329"/>
                    <wp:lineTo x="21307"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544955" cy="1061085"/>
                        </a:xfrm>
                        <a:prstGeom prst="rect">
                          <a:avLst/>
                        </a:prstGeom>
                        <a:solidFill>
                          <a:schemeClr val="lt1"/>
                        </a:solidFill>
                        <a:ln w="6350">
                          <a:noFill/>
                        </a:ln>
                      </wps:spPr>
                      <wps:txbx>
                        <w:txbxContent>
                          <w:p w14:paraId="0E39452C" w14:textId="77777777" w:rsidR="00E92217" w:rsidRPr="001C1B65" w:rsidRDefault="00E92217" w:rsidP="00FA26B9">
                            <w:pPr>
                              <w:spacing w:after="0" w:line="240" w:lineRule="auto"/>
                              <w:rPr>
                                <w:rFonts w:ascii="Book Antiqua" w:hAnsi="Book Antiqua" w:cstheme="majorBidi"/>
                                <w:sz w:val="20"/>
                                <w:szCs w:val="20"/>
                                <w:lang w:val="en-US"/>
                              </w:rPr>
                            </w:pPr>
                            <w:r w:rsidRPr="001C1B65">
                              <w:rPr>
                                <w:rFonts w:ascii="Book Antiqua" w:hAnsi="Book Antiqua" w:cstheme="majorBidi"/>
                                <w:sz w:val="20"/>
                                <w:szCs w:val="20"/>
                                <w:lang w:val="en-US"/>
                              </w:rPr>
                              <w:t>Psychological Research on Urban Society</w:t>
                            </w:r>
                          </w:p>
                          <w:p w14:paraId="461F5677" w14:textId="6E0DA9E5" w:rsidR="00E92217" w:rsidRPr="001C1B65" w:rsidRDefault="00E92217" w:rsidP="00FA26B9">
                            <w:pPr>
                              <w:spacing w:after="0" w:line="240" w:lineRule="auto"/>
                              <w:rPr>
                                <w:rFonts w:ascii="Book Antiqua" w:hAnsi="Book Antiqua" w:cstheme="majorBidi"/>
                                <w:sz w:val="20"/>
                                <w:szCs w:val="20"/>
                                <w:lang w:val="en-US"/>
                              </w:rPr>
                            </w:pPr>
                            <w:r w:rsidRPr="001C1B65">
                              <w:rPr>
                                <w:rFonts w:ascii="Book Antiqua" w:hAnsi="Book Antiqua" w:cstheme="majorBidi"/>
                                <w:sz w:val="20"/>
                                <w:szCs w:val="20"/>
                                <w:lang w:val="en-US"/>
                              </w:rPr>
                              <w:t xml:space="preserve">2018, Vol. 1(1) </w:t>
                            </w:r>
                            <w:r w:rsidR="00B64142">
                              <w:rPr>
                                <w:rFonts w:ascii="Book Antiqua" w:hAnsi="Book Antiqua" w:cstheme="majorBidi"/>
                                <w:sz w:val="20"/>
                                <w:szCs w:val="20"/>
                                <w:lang w:val="en-US"/>
                              </w:rPr>
                              <w:t>46-54</w:t>
                            </w:r>
                          </w:p>
                          <w:p w14:paraId="3B44F6E3" w14:textId="77777777" w:rsidR="00E92217" w:rsidRPr="001C1B65" w:rsidRDefault="00E92217" w:rsidP="00FA26B9">
                            <w:pPr>
                              <w:spacing w:after="0" w:line="240" w:lineRule="auto"/>
                              <w:rPr>
                                <w:rFonts w:ascii="Book Antiqua" w:hAnsi="Book Antiqua" w:cstheme="majorBidi"/>
                                <w:sz w:val="20"/>
                                <w:szCs w:val="20"/>
                                <w:lang w:val="en-US"/>
                              </w:rPr>
                            </w:pPr>
                            <w:r w:rsidRPr="001C1B65">
                              <w:rPr>
                                <w:rFonts w:ascii="Book Antiqua" w:hAnsi="Book Antiqua" w:cstheme="majorBidi"/>
                                <w:sz w:val="20"/>
                                <w:szCs w:val="20"/>
                                <w:lang w:val="en-US"/>
                              </w:rPr>
                              <w:t>© The Author(s) 2018</w:t>
                            </w:r>
                          </w:p>
                          <w:p w14:paraId="6A6F29AE" w14:textId="77777777" w:rsidR="00E92217" w:rsidRPr="00EC4C45" w:rsidRDefault="00E92217" w:rsidP="00FA26B9">
                            <w:pPr>
                              <w:spacing w:after="0" w:line="240" w:lineRule="auto"/>
                              <w:rPr>
                                <w:rFonts w:ascii="Book Antiqua" w:hAnsi="Book Antiqua" w:cstheme="majorBidi"/>
                                <w:sz w:val="20"/>
                                <w:szCs w:val="20"/>
                              </w:rPr>
                            </w:pPr>
                            <w:r w:rsidRPr="00EC4C45">
                              <w:rPr>
                                <w:rFonts w:ascii="Book Antiqua" w:hAnsi="Book Antiqua" w:cstheme="majorBidi"/>
                                <w:sz w:val="20"/>
                                <w:szCs w:val="20"/>
                              </w:rPr>
                              <w:t>proust.ui.ac.id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EBE8677" id="_x0000_t202" coordsize="21600,21600" o:spt="202" path="m,l,21600r21600,l21600,xe">
                <v:stroke joinstyle="miter"/>
                <v:path gradientshapeok="t" o:connecttype="rect"/>
              </v:shapetype>
              <v:shape id="Text Box 21" o:spid="_x0000_s1026" type="#_x0000_t202" style="position:absolute;margin-left:372.55pt;margin-top:2.45pt;width:121.65pt;height:83.5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" fillcolor="white [3201]" stroked="f" strokeweight=".5pt">
                <v:textbox>
                  <w:txbxContent>
                    <w:p w14:paraId="0E39452C" w14:textId="77777777" w:rsidR="00E92217" w:rsidRPr="001C1B65" w:rsidRDefault="00E92217" w:rsidP="00FA26B9">
                      <w:pPr>
                        <w:spacing w:after="0" w:line="240" w:lineRule="auto"/>
                        <w:rPr>
                          <w:rFonts w:ascii="Book Antiqua" w:hAnsi="Book Antiqua" w:cstheme="majorBidi"/>
                          <w:sz w:val="20"/>
                          <w:szCs w:val="20"/>
                          <w:lang w:val="en-US"/>
                        </w:rPr>
                      </w:pPr>
                      <w:r w:rsidRPr="001C1B65">
                        <w:rPr>
                          <w:rFonts w:ascii="Book Antiqua" w:hAnsi="Book Antiqua" w:cstheme="majorBidi"/>
                          <w:sz w:val="20"/>
                          <w:szCs w:val="20"/>
                          <w:lang w:val="en-US"/>
                        </w:rPr>
                        <w:t>Psychological Research on Urban Society</w:t>
                      </w:r>
                    </w:p>
                    <w:p w14:paraId="461F5677" w14:textId="6E0DA9E5" w:rsidR="00E92217" w:rsidRPr="001C1B65" w:rsidRDefault="00E92217" w:rsidP="00FA26B9">
                      <w:pPr>
                        <w:spacing w:after="0" w:line="240" w:lineRule="auto"/>
                        <w:rPr>
                          <w:rFonts w:ascii="Book Antiqua" w:hAnsi="Book Antiqua" w:cstheme="majorBidi"/>
                          <w:sz w:val="20"/>
                          <w:szCs w:val="20"/>
                          <w:lang w:val="en-US"/>
                        </w:rPr>
                      </w:pPr>
                      <w:r w:rsidRPr="001C1B65">
                        <w:rPr>
                          <w:rFonts w:ascii="Book Antiqua" w:hAnsi="Book Antiqua" w:cstheme="majorBidi"/>
                          <w:sz w:val="20"/>
                          <w:szCs w:val="20"/>
                          <w:lang w:val="en-US"/>
                        </w:rPr>
                        <w:t xml:space="preserve">2018, Vol. 1(1) </w:t>
                      </w:r>
                      <w:r w:rsidR="00B64142">
                        <w:rPr>
                          <w:rFonts w:ascii="Book Antiqua" w:hAnsi="Book Antiqua" w:cstheme="majorBidi"/>
                          <w:sz w:val="20"/>
                          <w:szCs w:val="20"/>
                          <w:lang w:val="en-US"/>
                        </w:rPr>
                        <w:t>46-54</w:t>
                      </w:r>
                    </w:p>
                    <w:p w14:paraId="3B44F6E3" w14:textId="77777777" w:rsidR="00E92217" w:rsidRPr="001C1B65" w:rsidRDefault="00E92217" w:rsidP="00FA26B9">
                      <w:pPr>
                        <w:spacing w:after="0" w:line="240" w:lineRule="auto"/>
                        <w:rPr>
                          <w:rFonts w:ascii="Book Antiqua" w:hAnsi="Book Antiqua" w:cstheme="majorBidi"/>
                          <w:sz w:val="20"/>
                          <w:szCs w:val="20"/>
                          <w:lang w:val="en-US"/>
                        </w:rPr>
                      </w:pPr>
                      <w:r w:rsidRPr="001C1B65">
                        <w:rPr>
                          <w:rFonts w:ascii="Book Antiqua" w:hAnsi="Book Antiqua" w:cstheme="majorBidi"/>
                          <w:sz w:val="20"/>
                          <w:szCs w:val="20"/>
                          <w:lang w:val="en-US"/>
                        </w:rPr>
                        <w:t>© The Author(s) 2018</w:t>
                      </w:r>
                    </w:p>
                    <w:p w14:paraId="6A6F29AE" w14:textId="77777777" w:rsidR="00E92217" w:rsidRPr="00EC4C45" w:rsidRDefault="00E92217" w:rsidP="00FA26B9">
                      <w:pPr>
                        <w:spacing w:after="0" w:line="240" w:lineRule="auto"/>
                        <w:rPr>
                          <w:rFonts w:ascii="Book Antiqua" w:hAnsi="Book Antiqua" w:cstheme="majorBidi"/>
                          <w:sz w:val="20"/>
                          <w:szCs w:val="20"/>
                        </w:rPr>
                      </w:pPr>
                      <w:r w:rsidRPr="00EC4C45">
                        <w:rPr>
                          <w:rFonts w:ascii="Book Antiqua" w:hAnsi="Book Antiqua" w:cstheme="majorBidi"/>
                          <w:sz w:val="20"/>
                          <w:szCs w:val="20"/>
                        </w:rPr>
                        <w:t>proust.ui.ac.id</w:t>
                      </w:r>
                    </w:p>
                  </w:txbxContent>
                </v:textbox>
                <w10:wrap type="tight"/>
              </v:shape>
            </w:pict>
          </mc:Fallback>
        </mc:AlternateContent>
      </w:r>
      <w:r w:rsidR="00D4694C" w:rsidRPr="001B21F0">
        <w:rPr>
          <w:rFonts w:ascii="Book Antiqua" w:hAnsi="Book Antiqua" w:cs="Times New Roman"/>
          <w:b/>
          <w:bCs/>
          <w:sz w:val="32"/>
          <w:szCs w:val="32"/>
          <w:lang w:val="en-US"/>
        </w:rPr>
        <w:t>Coping with Sexual Abuse</w:t>
      </w:r>
    </w:p>
    <w:p w14:paraId="0C7BC190" w14:textId="7EC11204" w:rsidR="001C2242" w:rsidRPr="001B21F0" w:rsidRDefault="004032A9" w:rsidP="001C2242">
      <w:pPr>
        <w:spacing w:after="0" w:line="240" w:lineRule="auto"/>
        <w:rPr>
          <w:rFonts w:ascii="Book Antiqua" w:hAnsi="Book Antiqua" w:cs="Times New Roman"/>
          <w:b/>
          <w:bCs/>
          <w:sz w:val="24"/>
          <w:szCs w:val="24"/>
        </w:rPr>
      </w:pPr>
      <w:r w:rsidRPr="001B21F0">
        <w:rPr>
          <w:rFonts w:ascii="Book Antiqua" w:hAnsi="Book Antiqua" w:cs="Times New Roman"/>
          <w:b/>
          <w:bCs/>
          <w:sz w:val="24"/>
          <w:szCs w:val="24"/>
        </w:rPr>
        <w:t>Tameka Romeo</w:t>
      </w:r>
      <w:r w:rsidRPr="001B21F0">
        <w:rPr>
          <w:rFonts w:ascii="Book Antiqua" w:hAnsi="Book Antiqua" w:cs="Times New Roman"/>
          <w:b/>
          <w:bCs/>
          <w:sz w:val="24"/>
          <w:szCs w:val="24"/>
          <w:vertAlign w:val="superscript"/>
        </w:rPr>
        <w:t>1</w:t>
      </w:r>
      <w:r w:rsidR="004D36ED" w:rsidRPr="001B21F0">
        <w:rPr>
          <w:rFonts w:ascii="Book Antiqua" w:hAnsi="Book Antiqua" w:cs="Times New Roman"/>
          <w:b/>
          <w:bCs/>
          <w:sz w:val="24"/>
          <w:szCs w:val="24"/>
          <w:vertAlign w:val="superscript"/>
        </w:rPr>
        <w:t>,2</w:t>
      </w:r>
      <w:r w:rsidRPr="001B21F0">
        <w:rPr>
          <w:rFonts w:ascii="Book Antiqua" w:hAnsi="Book Antiqua" w:cs="Times New Roman"/>
          <w:b/>
          <w:bCs/>
          <w:sz w:val="24"/>
          <w:szCs w:val="24"/>
        </w:rPr>
        <w:t>, Henry Otgaar</w:t>
      </w:r>
      <w:r w:rsidR="00E96571" w:rsidRPr="001B21F0">
        <w:rPr>
          <w:rFonts w:ascii="Book Antiqua" w:hAnsi="Book Antiqua" w:cs="Times New Roman"/>
          <w:b/>
          <w:bCs/>
          <w:sz w:val="24"/>
          <w:szCs w:val="24"/>
          <w:vertAlign w:val="superscript"/>
        </w:rPr>
        <w:t>1</w:t>
      </w:r>
      <w:r w:rsidRPr="001B21F0">
        <w:rPr>
          <w:rFonts w:ascii="Book Antiqua" w:hAnsi="Book Antiqua" w:cs="Times New Roman"/>
          <w:b/>
          <w:bCs/>
          <w:sz w:val="24"/>
          <w:szCs w:val="24"/>
        </w:rPr>
        <w:t>, Sara Landst</w:t>
      </w:r>
      <w:r w:rsidR="00893C75" w:rsidRPr="001B21F0">
        <w:rPr>
          <w:rFonts w:ascii="Book Antiqua" w:hAnsi="Book Antiqua" w:cs="Times New Roman"/>
          <w:b/>
          <w:bCs/>
          <w:sz w:val="24"/>
          <w:szCs w:val="24"/>
        </w:rPr>
        <w:t>r</w:t>
      </w:r>
      <w:r w:rsidR="00893C75" w:rsidRPr="001B21F0">
        <w:rPr>
          <w:rFonts w:ascii="Times New Roman" w:hAnsi="Times New Roman" w:cs="Times New Roman"/>
          <w:b/>
          <w:bCs/>
          <w:sz w:val="24"/>
          <w:szCs w:val="24"/>
          <w:shd w:val="clear" w:color="auto" w:fill="FFFFFF"/>
          <w:lang w:val="sv-SE"/>
        </w:rPr>
        <w:t>ö</w:t>
      </w:r>
      <w:r w:rsidRPr="001B21F0">
        <w:rPr>
          <w:rFonts w:ascii="Book Antiqua" w:hAnsi="Book Antiqua" w:cs="Times New Roman"/>
          <w:b/>
          <w:bCs/>
          <w:sz w:val="24"/>
          <w:szCs w:val="24"/>
        </w:rPr>
        <w:t>m</w:t>
      </w:r>
      <w:r w:rsidR="004D36ED" w:rsidRPr="001B21F0">
        <w:rPr>
          <w:rFonts w:ascii="Book Antiqua" w:hAnsi="Book Antiqua" w:cs="Times New Roman"/>
          <w:b/>
          <w:bCs/>
          <w:sz w:val="24"/>
          <w:szCs w:val="24"/>
          <w:vertAlign w:val="superscript"/>
        </w:rPr>
        <w:t>2</w:t>
      </w:r>
    </w:p>
    <w:p w14:paraId="1D7E256C" w14:textId="4FDD2AEC" w:rsidR="004032A9" w:rsidRPr="001B21F0" w:rsidRDefault="00E96571" w:rsidP="001C2242">
      <w:pPr>
        <w:spacing w:after="0" w:line="240" w:lineRule="auto"/>
        <w:rPr>
          <w:rFonts w:ascii="Book Antiqua" w:hAnsi="Book Antiqua" w:cs="Times New Roman"/>
          <w:sz w:val="18"/>
          <w:szCs w:val="18"/>
          <w:lang w:val="en-US"/>
        </w:rPr>
      </w:pPr>
      <w:r w:rsidRPr="001B21F0">
        <w:rPr>
          <w:rFonts w:ascii="Book Antiqua" w:hAnsi="Book Antiqua" w:cs="Times New Roman"/>
          <w:sz w:val="18"/>
          <w:szCs w:val="18"/>
          <w:vertAlign w:val="superscript"/>
          <w:lang w:val="en-US"/>
        </w:rPr>
        <w:t>1</w:t>
      </w:r>
      <w:r w:rsidRPr="001B21F0">
        <w:rPr>
          <w:rFonts w:ascii="Book Antiqua" w:hAnsi="Book Antiqua" w:cs="Times New Roman"/>
          <w:sz w:val="18"/>
          <w:szCs w:val="18"/>
          <w:lang w:val="en-US"/>
        </w:rPr>
        <w:t xml:space="preserve">Maastricht University; </w:t>
      </w:r>
      <w:r w:rsidR="004D36ED" w:rsidRPr="001B21F0">
        <w:rPr>
          <w:rFonts w:ascii="Book Antiqua" w:hAnsi="Book Antiqua" w:cs="Times New Roman"/>
          <w:sz w:val="18"/>
          <w:szCs w:val="18"/>
          <w:vertAlign w:val="superscript"/>
          <w:lang w:val="en-US"/>
        </w:rPr>
        <w:t>2</w:t>
      </w:r>
      <w:r w:rsidRPr="001B21F0">
        <w:rPr>
          <w:rFonts w:ascii="Book Antiqua" w:hAnsi="Book Antiqua" w:cs="Times New Roman"/>
          <w:sz w:val="18"/>
          <w:szCs w:val="18"/>
          <w:lang w:val="en-US"/>
        </w:rPr>
        <w:t>University of Gothenburg</w:t>
      </w:r>
    </w:p>
    <w:p w14:paraId="25E11883" w14:textId="7BEE94FA" w:rsidR="004032A9" w:rsidRPr="001B21F0" w:rsidRDefault="004032A9" w:rsidP="001C2242">
      <w:pPr>
        <w:spacing w:after="0" w:line="240" w:lineRule="auto"/>
        <w:rPr>
          <w:rFonts w:ascii="Book Antiqua" w:hAnsi="Book Antiqua" w:cs="Times New Roman"/>
          <w:b/>
          <w:bCs/>
          <w:sz w:val="24"/>
          <w:szCs w:val="24"/>
          <w:lang w:val="en-US"/>
        </w:rPr>
      </w:pPr>
    </w:p>
    <w:p w14:paraId="489D51F5" w14:textId="0AD637BB" w:rsidR="004032A9" w:rsidRPr="001B21F0" w:rsidRDefault="00C24D61" w:rsidP="005E0EE6">
      <w:pPr>
        <w:spacing w:after="0" w:line="240" w:lineRule="auto"/>
        <w:rPr>
          <w:rFonts w:ascii="Book Antiqua" w:hAnsi="Book Antiqua" w:cs="Times New Roman"/>
          <w:b/>
          <w:sz w:val="24"/>
          <w:szCs w:val="24"/>
          <w:lang w:val="en-US"/>
        </w:rPr>
      </w:pPr>
      <w:r w:rsidRPr="001B21F0">
        <w:rPr>
          <w:rFonts w:ascii="Book Antiqua" w:hAnsi="Book Antiqua"/>
          <w:noProof/>
          <w:lang w:eastAsia="nl-NL"/>
        </w:rPr>
        <mc:AlternateContent>
          <mc:Choice Requires="wps">
            <w:drawing>
              <wp:anchor distT="0" distB="0" distL="0" distR="0" simplePos="0" relativeHeight="251656192" behindDoc="1" locked="0" layoutInCell="1" allowOverlap="1" wp14:anchorId="0284A322" wp14:editId="052E305D">
                <wp:simplePos x="0" y="0"/>
                <wp:positionH relativeFrom="column">
                  <wp:posOffset>4039870</wp:posOffset>
                </wp:positionH>
                <wp:positionV relativeFrom="paragraph">
                  <wp:posOffset>13335</wp:posOffset>
                </wp:positionV>
                <wp:extent cx="2239010" cy="523875"/>
                <wp:effectExtent l="0" t="0" r="8890" b="9525"/>
                <wp:wrapTight wrapText="bothSides">
                  <wp:wrapPolygon edited="0">
                    <wp:start x="0" y="0"/>
                    <wp:lineTo x="0" y="21207"/>
                    <wp:lineTo x="21502" y="21207"/>
                    <wp:lineTo x="21502"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239010" cy="523875"/>
                        </a:xfrm>
                        <a:prstGeom prst="rect">
                          <a:avLst/>
                        </a:prstGeom>
                        <a:solidFill>
                          <a:schemeClr val="lt1"/>
                        </a:solidFill>
                        <a:ln w="6350">
                          <a:noFill/>
                        </a:ln>
                      </wps:spPr>
                      <wps:txbx>
                        <w:txbxContent>
                          <w:p w14:paraId="3572F664" w14:textId="77777777" w:rsidR="00E92217" w:rsidRPr="001C1B65" w:rsidRDefault="00E92217" w:rsidP="00FA26B9">
                            <w:pPr>
                              <w:spacing w:after="0" w:line="240" w:lineRule="auto"/>
                              <w:ind w:left="-425"/>
                              <w:jc w:val="right"/>
                              <w:rPr>
                                <w:rFonts w:ascii="Book Antiqua" w:hAnsi="Book Antiqua" w:cstheme="majorBidi"/>
                                <w:i/>
                                <w:iCs/>
                                <w:color w:val="000000" w:themeColor="text1"/>
                                <w:sz w:val="18"/>
                                <w:szCs w:val="18"/>
                                <w:lang w:val="en-US"/>
                              </w:rPr>
                            </w:pPr>
                            <w:r w:rsidRPr="001C1B65">
                              <w:rPr>
                                <w:rFonts w:ascii="Book Antiqua" w:hAnsi="Book Antiqua" w:cstheme="majorBidi"/>
                                <w:i/>
                                <w:iCs/>
                                <w:color w:val="000000" w:themeColor="text1"/>
                                <w:sz w:val="18"/>
                                <w:szCs w:val="18"/>
                                <w:lang w:val="en-US"/>
                              </w:rPr>
                              <w:t>Received: December 10th, 2017</w:t>
                            </w:r>
                          </w:p>
                          <w:p w14:paraId="16633D28" w14:textId="3C838381" w:rsidR="00E92217" w:rsidRPr="001C1B65" w:rsidRDefault="00E92217" w:rsidP="00FA26B9">
                            <w:pPr>
                              <w:spacing w:after="0" w:line="240" w:lineRule="auto"/>
                              <w:ind w:left="-425"/>
                              <w:jc w:val="right"/>
                              <w:rPr>
                                <w:rFonts w:ascii="Book Antiqua" w:hAnsi="Book Antiqua" w:cstheme="majorBidi"/>
                                <w:i/>
                                <w:iCs/>
                                <w:color w:val="000000" w:themeColor="text1"/>
                                <w:sz w:val="18"/>
                                <w:szCs w:val="18"/>
                                <w:lang w:val="en-US"/>
                              </w:rPr>
                            </w:pPr>
                            <w:r w:rsidRPr="001C1B65">
                              <w:rPr>
                                <w:rFonts w:ascii="Book Antiqua" w:hAnsi="Book Antiqua" w:cstheme="majorBidi"/>
                                <w:i/>
                                <w:iCs/>
                                <w:color w:val="000000" w:themeColor="text1"/>
                                <w:sz w:val="18"/>
                                <w:szCs w:val="18"/>
                                <w:lang w:val="en-US"/>
                              </w:rPr>
                              <w:t xml:space="preserve">Revision Accepted: March 19th,2018 </w:t>
                            </w:r>
                          </w:p>
                          <w:p w14:paraId="782DE9C4" w14:textId="77777777" w:rsidR="00E92217" w:rsidRPr="001C1B65" w:rsidRDefault="00E92217" w:rsidP="00FA26B9">
                            <w:pPr>
                              <w:spacing w:after="0" w:line="240" w:lineRule="auto"/>
                              <w:ind w:left="-425"/>
                              <w:rPr>
                                <w:rFonts w:ascii="Book Antiqua" w:hAnsi="Book Antiqua" w:cstheme="majorBidi"/>
                                <w:color w:val="000000"/>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84A322" id="Text Box 20" o:spid="_x0000_s1027" type="#_x0000_t202" style="position:absolute;margin-left:318.1pt;margin-top:1.05pt;width:176.3pt;height:41.2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" fillcolor="white [3201]" stroked="f" strokeweight=".5pt">
                <v:textbox>
                  <w:txbxContent>
                    <w:p w14:paraId="3572F664" w14:textId="77777777" w:rsidR="00E92217" w:rsidRPr="001C1B65" w:rsidRDefault="00E92217" w:rsidP="00FA26B9">
                      <w:pPr>
                        <w:spacing w:after="0" w:line="240" w:lineRule="auto"/>
                        <w:ind w:left="-425"/>
                        <w:jc w:val="right"/>
                        <w:rPr>
                          <w:rFonts w:ascii="Book Antiqua" w:hAnsi="Book Antiqua" w:cstheme="majorBidi"/>
                          <w:i/>
                          <w:iCs/>
                          <w:color w:val="000000" w:themeColor="text1"/>
                          <w:sz w:val="18"/>
                          <w:szCs w:val="18"/>
                          <w:lang w:val="en-US"/>
                        </w:rPr>
                      </w:pPr>
                      <w:r w:rsidRPr="001C1B65">
                        <w:rPr>
                          <w:rFonts w:ascii="Book Antiqua" w:hAnsi="Book Antiqua" w:cstheme="majorBidi"/>
                          <w:i/>
                          <w:iCs/>
                          <w:color w:val="000000" w:themeColor="text1"/>
                          <w:sz w:val="18"/>
                          <w:szCs w:val="18"/>
                          <w:lang w:val="en-US"/>
                        </w:rPr>
                        <w:t>Received: December 10th, 2017</w:t>
                      </w:r>
                    </w:p>
                    <w:p w14:paraId="16633D28" w14:textId="3C838381" w:rsidR="00E92217" w:rsidRPr="001C1B65" w:rsidRDefault="00E92217" w:rsidP="00FA26B9">
                      <w:pPr>
                        <w:spacing w:after="0" w:line="240" w:lineRule="auto"/>
                        <w:ind w:left="-425"/>
                        <w:jc w:val="right"/>
                        <w:rPr>
                          <w:rFonts w:ascii="Book Antiqua" w:hAnsi="Book Antiqua" w:cstheme="majorBidi"/>
                          <w:i/>
                          <w:iCs/>
                          <w:color w:val="000000" w:themeColor="text1"/>
                          <w:sz w:val="18"/>
                          <w:szCs w:val="18"/>
                          <w:lang w:val="en-US"/>
                        </w:rPr>
                      </w:pPr>
                      <w:r w:rsidRPr="001C1B65">
                        <w:rPr>
                          <w:rFonts w:ascii="Book Antiqua" w:hAnsi="Book Antiqua" w:cstheme="majorBidi"/>
                          <w:i/>
                          <w:iCs/>
                          <w:color w:val="000000" w:themeColor="text1"/>
                          <w:sz w:val="18"/>
                          <w:szCs w:val="18"/>
                          <w:lang w:val="en-US"/>
                        </w:rPr>
                        <w:t xml:space="preserve">Revision Accepted: March 19th,2018 </w:t>
                      </w:r>
                    </w:p>
                    <w:p w14:paraId="782DE9C4" w14:textId="77777777" w:rsidR="00E92217" w:rsidRPr="001C1B65" w:rsidRDefault="00E92217" w:rsidP="00FA26B9">
                      <w:pPr>
                        <w:spacing w:after="0" w:line="240" w:lineRule="auto"/>
                        <w:ind w:left="-425"/>
                        <w:rPr>
                          <w:rFonts w:ascii="Book Antiqua" w:hAnsi="Book Antiqua" w:cstheme="majorBidi"/>
                          <w:color w:val="000000"/>
                          <w:sz w:val="18"/>
                          <w:szCs w:val="18"/>
                          <w:lang w:val="en-US"/>
                        </w:rPr>
                      </w:pPr>
                    </w:p>
                  </w:txbxContent>
                </v:textbox>
                <w10:wrap type="tight"/>
              </v:shape>
            </w:pict>
          </mc:Fallback>
        </mc:AlternateContent>
      </w:r>
    </w:p>
    <w:p w14:paraId="34FEFF44" w14:textId="77777777" w:rsidR="00C24D61" w:rsidRPr="001B21F0" w:rsidRDefault="00C24D61" w:rsidP="005E0EE6">
      <w:pPr>
        <w:spacing w:after="0" w:line="240" w:lineRule="auto"/>
        <w:rPr>
          <w:rFonts w:ascii="Book Antiqua" w:hAnsi="Book Antiqua" w:cs="Times New Roman"/>
          <w:b/>
          <w:sz w:val="24"/>
          <w:szCs w:val="24"/>
          <w:lang w:val="en-US"/>
        </w:rPr>
      </w:pPr>
    </w:p>
    <w:p w14:paraId="7E61348F" w14:textId="77777777" w:rsidR="00C24D61" w:rsidRPr="001B21F0" w:rsidRDefault="00C24D61" w:rsidP="005E0EE6">
      <w:pPr>
        <w:spacing w:after="0" w:line="240" w:lineRule="auto"/>
        <w:rPr>
          <w:rFonts w:ascii="Book Antiqua" w:hAnsi="Book Antiqua" w:cs="Times New Roman"/>
          <w:b/>
          <w:sz w:val="24"/>
          <w:szCs w:val="24"/>
          <w:lang w:val="en-US"/>
        </w:rPr>
      </w:pPr>
    </w:p>
    <w:p w14:paraId="39237EF3" w14:textId="3593B3B0" w:rsidR="005E0EE6" w:rsidRPr="001B21F0" w:rsidRDefault="005E0EE6" w:rsidP="005E0EE6">
      <w:pPr>
        <w:spacing w:after="0" w:line="240" w:lineRule="auto"/>
        <w:rPr>
          <w:rFonts w:ascii="Book Antiqua" w:hAnsi="Book Antiqua" w:cs="Times New Roman"/>
          <w:b/>
          <w:sz w:val="24"/>
          <w:szCs w:val="24"/>
          <w:lang w:val="en-US"/>
        </w:rPr>
      </w:pPr>
      <w:r w:rsidRPr="001B21F0">
        <w:rPr>
          <w:rFonts w:ascii="Book Antiqua" w:hAnsi="Book Antiqua" w:cs="Times New Roman"/>
          <w:b/>
          <w:sz w:val="24"/>
          <w:szCs w:val="24"/>
          <w:lang w:val="en-US"/>
        </w:rPr>
        <w:t>Abstract</w:t>
      </w:r>
    </w:p>
    <w:p w14:paraId="40EFCB45" w14:textId="7D54BB09" w:rsidR="0015002B" w:rsidRPr="001B21F0" w:rsidRDefault="005E0EE6" w:rsidP="00DD6B5A">
      <w:pPr>
        <w:spacing w:afterLines="240" w:after="576" w:line="240" w:lineRule="auto"/>
        <w:jc w:val="both"/>
        <w:rPr>
          <w:rFonts w:ascii="Book Antiqua" w:hAnsi="Book Antiqua" w:cs="Times New Roman"/>
          <w:sz w:val="24"/>
          <w:szCs w:val="24"/>
          <w:lang w:val="en-US"/>
        </w:rPr>
      </w:pPr>
      <w:r w:rsidRPr="001B21F0">
        <w:rPr>
          <w:rFonts w:ascii="Book Antiqua" w:hAnsi="Book Antiqua" w:cs="Times New Roman"/>
          <w:sz w:val="24"/>
          <w:szCs w:val="24"/>
          <w:lang w:val="en-US"/>
        </w:rPr>
        <w:t xml:space="preserve">General consensus exists in the psychological literature with regard to what constitutes child sexual abuse (CSA) and the negative implications for victims of CSA throughout the course of their lives. Recently, different types of cognitive strategies that victims may use to cope with CSA and the possible effects of these coping strategies on memory have received considerable empirical attention. The first aim of this paper is to provide an overview of the current literature about why, how, and when victims of CSA use the cognitive coping strategies of false denial, disclosure, and recantation to cope with psychological, emotional, and even interpersonal implications of their abuse. Over the years, disclosure is the one strategy that has been researched extensively, whereas research on false denial and recantation has barely just begun. The second aim is to provide a recent overview of the relationship between coping strategies and memory in the context of CSA. Specifically, we will discuss how false denials may have the potential to negatively affect a victim’s memory. Finally, we present an argument for the need to undertake research into insufficiently examined coping strategies such as false denial and recantation. </w:t>
      </w:r>
    </w:p>
    <w:p w14:paraId="2FCF603F" w14:textId="1FF392EC" w:rsidR="0015002B" w:rsidRPr="001B21F0" w:rsidRDefault="00D4694C" w:rsidP="0015002B">
      <w:pPr>
        <w:spacing w:after="0" w:line="240" w:lineRule="auto"/>
        <w:jc w:val="both"/>
        <w:rPr>
          <w:rFonts w:ascii="Book Antiqua" w:hAnsi="Book Antiqua" w:cs="Times New Roman"/>
          <w:sz w:val="24"/>
          <w:szCs w:val="24"/>
          <w:lang w:val="en-US"/>
        </w:rPr>
      </w:pPr>
      <w:r w:rsidRPr="001B21F0">
        <w:rPr>
          <w:rFonts w:ascii="Book Antiqua" w:hAnsi="Book Antiqua" w:cs="Times New Roman"/>
          <w:b/>
          <w:bCs/>
          <w:iCs/>
          <w:sz w:val="24"/>
          <w:szCs w:val="24"/>
          <w:lang w:val="en-US"/>
        </w:rPr>
        <w:t>Keywords</w:t>
      </w:r>
    </w:p>
    <w:p w14:paraId="242488F4" w14:textId="3BCED002" w:rsidR="00D4694C" w:rsidRPr="001B21F0" w:rsidRDefault="0015002B" w:rsidP="0015002B">
      <w:pPr>
        <w:spacing w:after="0" w:line="240" w:lineRule="auto"/>
        <w:jc w:val="both"/>
        <w:rPr>
          <w:rFonts w:ascii="Book Antiqua" w:hAnsi="Book Antiqua" w:cs="Times New Roman"/>
          <w:sz w:val="24"/>
          <w:szCs w:val="24"/>
          <w:lang w:val="en-US"/>
        </w:rPr>
      </w:pPr>
      <w:r w:rsidRPr="001B21F0">
        <w:rPr>
          <w:rFonts w:ascii="Book Antiqua" w:hAnsi="Book Antiqua" w:cs="Times New Roman"/>
          <w:sz w:val="24"/>
          <w:szCs w:val="24"/>
          <w:lang w:val="en-US"/>
        </w:rPr>
        <w:t>C</w:t>
      </w:r>
      <w:r w:rsidR="00D4694C" w:rsidRPr="001B21F0">
        <w:rPr>
          <w:rFonts w:ascii="Book Antiqua" w:hAnsi="Book Antiqua" w:cs="Times New Roman"/>
          <w:sz w:val="24"/>
          <w:szCs w:val="24"/>
          <w:lang w:val="en-US"/>
        </w:rPr>
        <w:t xml:space="preserve">hild sexual abuse, </w:t>
      </w:r>
      <w:r w:rsidR="0052291C" w:rsidRPr="001B21F0">
        <w:rPr>
          <w:rFonts w:ascii="Book Antiqua" w:hAnsi="Book Antiqua" w:cs="Times New Roman"/>
          <w:sz w:val="24"/>
          <w:szCs w:val="24"/>
          <w:lang w:val="en-US"/>
        </w:rPr>
        <w:t>m</w:t>
      </w:r>
      <w:r w:rsidR="00D4694C" w:rsidRPr="001B21F0">
        <w:rPr>
          <w:rFonts w:ascii="Book Antiqua" w:hAnsi="Book Antiqua" w:cs="Times New Roman"/>
          <w:sz w:val="24"/>
          <w:szCs w:val="24"/>
          <w:lang w:val="en-US"/>
        </w:rPr>
        <w:t>emory, false denial, disclosure, recantation</w:t>
      </w:r>
    </w:p>
    <w:p w14:paraId="28A6BA34" w14:textId="1C83E36A" w:rsidR="00D4694C" w:rsidRPr="001B21F0" w:rsidRDefault="00D4694C" w:rsidP="00C237F0">
      <w:pPr>
        <w:spacing w:line="240" w:lineRule="auto"/>
        <w:jc w:val="center"/>
        <w:rPr>
          <w:rFonts w:ascii="Book Antiqua" w:hAnsi="Book Antiqua" w:cs="Times New Roman"/>
          <w:sz w:val="24"/>
          <w:szCs w:val="24"/>
          <w:lang w:val="en-US"/>
        </w:rPr>
      </w:pPr>
    </w:p>
    <w:p w14:paraId="324C3E63" w14:textId="77777777" w:rsidR="0015002B" w:rsidRPr="001B21F0" w:rsidRDefault="0015002B" w:rsidP="0015002B">
      <w:pPr>
        <w:spacing w:line="240" w:lineRule="auto"/>
        <w:jc w:val="both"/>
        <w:rPr>
          <w:rFonts w:ascii="Book Antiqua" w:hAnsi="Book Antiqua" w:cs="Times New Roman"/>
          <w:b/>
          <w:sz w:val="24"/>
          <w:szCs w:val="24"/>
          <w:lang w:val="en-US"/>
        </w:rPr>
        <w:sectPr w:rsidR="0015002B" w:rsidRPr="001B21F0" w:rsidSect="00B64142">
          <w:headerReference w:type="even" r:id="rId7"/>
          <w:headerReference w:type="default" r:id="rId8"/>
          <w:footerReference w:type="default" r:id="rId9"/>
          <w:headerReference w:type="first" r:id="rId10"/>
          <w:pgSz w:w="11906" w:h="16838"/>
          <w:pgMar w:top="1021" w:right="1134" w:bottom="1440" w:left="851" w:header="142" w:footer="709" w:gutter="0"/>
          <w:pgNumType w:start="46"/>
          <w:cols w:space="708"/>
          <w:titlePg/>
          <w:docGrid w:linePitch="360"/>
        </w:sectPr>
      </w:pPr>
    </w:p>
    <w:p w14:paraId="058CE669" w14:textId="3628324A" w:rsidR="00614595" w:rsidRPr="001B21F0" w:rsidRDefault="00614595" w:rsidP="00614595">
      <w:pPr>
        <w:keepNext/>
        <w:framePr w:dropCap="drop" w:lines="3" w:wrap="around" w:vAnchor="text" w:hAnchor="text"/>
        <w:spacing w:after="0" w:line="827" w:lineRule="exact"/>
        <w:jc w:val="both"/>
        <w:textAlignment w:val="baseline"/>
        <w:rPr>
          <w:rFonts w:ascii="Book Antiqua" w:hAnsi="Book Antiqua" w:cs="Times New Roman"/>
          <w:position w:val="-10"/>
          <w:lang w:val="en-US"/>
        </w:rPr>
      </w:pPr>
      <w:r w:rsidRPr="001B21F0">
        <w:rPr>
          <w:rFonts w:ascii="Book Antiqua" w:hAnsi="Book Antiqua" w:cs="Times New Roman"/>
          <w:position w:val="-10"/>
          <w:sz w:val="107"/>
          <w:szCs w:val="107"/>
          <w:lang w:val="en-US"/>
        </w:rPr>
        <w:t>C</w:t>
      </w:r>
    </w:p>
    <w:p w14:paraId="08BFE661" w14:textId="5AB0E163" w:rsidR="00614595" w:rsidRPr="001B21F0" w:rsidRDefault="009D3D1E" w:rsidP="00C41F6B">
      <w:pPr>
        <w:spacing w:after="0" w:line="240" w:lineRule="auto"/>
        <w:jc w:val="both"/>
        <w:rPr>
          <w:rFonts w:ascii="Book Antiqua" w:hAnsi="Book Antiqua" w:cs="Times New Roman"/>
          <w:lang w:val="en-US"/>
        </w:rPr>
      </w:pPr>
      <w:r w:rsidRPr="001B21F0">
        <w:rPr>
          <w:rFonts w:ascii="Book Antiqua" w:hAnsi="Book Antiqua" w:cs="Times New Roman"/>
          <w:noProof/>
          <w:sz w:val="24"/>
          <w:szCs w:val="24"/>
          <w:lang w:eastAsia="nl-NL"/>
        </w:rPr>
        <mc:AlternateContent>
          <mc:Choice Requires="wpg">
            <w:drawing>
              <wp:anchor distT="0" distB="0" distL="114300" distR="114300" simplePos="0" relativeHeight="251660288" behindDoc="0" locked="0" layoutInCell="1" allowOverlap="1" wp14:anchorId="648051E8" wp14:editId="2A4D9A7C">
                <wp:simplePos x="0" y="0"/>
                <wp:positionH relativeFrom="column">
                  <wp:posOffset>2773680</wp:posOffset>
                </wp:positionH>
                <wp:positionV relativeFrom="paragraph">
                  <wp:posOffset>2129155</wp:posOffset>
                </wp:positionV>
                <wp:extent cx="3024505" cy="1272540"/>
                <wp:effectExtent l="0" t="0" r="23495" b="3810"/>
                <wp:wrapTopAndBottom/>
                <wp:docPr id="22" name="Group 22"/>
                <wp:cNvGraphicFramePr/>
                <a:graphic xmlns:a="http://schemas.openxmlformats.org/drawingml/2006/main">
                  <a:graphicData uri="http://schemas.microsoft.com/office/word/2010/wordprocessingGroup">
                    <wpg:wgp>
                      <wpg:cNvGrpSpPr/>
                      <wpg:grpSpPr>
                        <a:xfrm>
                          <a:off x="0" y="0"/>
                          <a:ext cx="3024505" cy="1272540"/>
                          <a:chOff x="0" y="0"/>
                          <a:chExt cx="3024505" cy="1126868"/>
                        </a:xfrm>
                      </wpg:grpSpPr>
                      <wps:wsp>
                        <wps:cNvPr id="24" name="Text Box 12"/>
                        <wps:cNvSpPr txBox="1"/>
                        <wps:spPr>
                          <a:xfrm>
                            <a:off x="0" y="11874"/>
                            <a:ext cx="3024505" cy="1114994"/>
                          </a:xfrm>
                          <a:prstGeom prst="rect">
                            <a:avLst/>
                          </a:prstGeom>
                          <a:solidFill>
                            <a:schemeClr val="lt1"/>
                          </a:solidFill>
                          <a:ln w="6350">
                            <a:noFill/>
                          </a:ln>
                        </wps:spPr>
                        <wps:txbx>
                          <w:txbxContent>
                            <w:p w14:paraId="0040664D" w14:textId="77777777" w:rsidR="00E92217" w:rsidRPr="001C1B65" w:rsidRDefault="00E92217" w:rsidP="003528B4">
                              <w:pPr>
                                <w:spacing w:after="0" w:line="240" w:lineRule="auto"/>
                                <w:ind w:right="25"/>
                                <w:rPr>
                                  <w:rFonts w:ascii="Book Antiqua" w:hAnsi="Book Antiqua" w:cstheme="majorBidi"/>
                                  <w:b/>
                                  <w:bCs/>
                                  <w:sz w:val="20"/>
                                  <w:szCs w:val="20"/>
                                  <w:lang w:val="en-US"/>
                                </w:rPr>
                              </w:pPr>
                              <w:r w:rsidRPr="001C1B65">
                                <w:rPr>
                                  <w:rFonts w:ascii="Book Antiqua" w:hAnsi="Book Antiqua" w:cstheme="majorBidi"/>
                                  <w:b/>
                                  <w:bCs/>
                                  <w:sz w:val="20"/>
                                  <w:szCs w:val="20"/>
                                  <w:lang w:val="en-US"/>
                                </w:rPr>
                                <w:t>Corresponding Author:</w:t>
                              </w:r>
                            </w:p>
                            <w:p w14:paraId="41A1412F" w14:textId="0654A6E3" w:rsidR="00E92217" w:rsidRPr="001C1B65" w:rsidRDefault="00E92217" w:rsidP="003528B4">
                              <w:pPr>
                                <w:spacing w:after="0" w:line="240" w:lineRule="auto"/>
                                <w:ind w:right="25"/>
                                <w:rPr>
                                  <w:rFonts w:ascii="Book Antiqua" w:hAnsi="Book Antiqua" w:cstheme="majorBidi"/>
                                  <w:sz w:val="20"/>
                                  <w:szCs w:val="20"/>
                                  <w:lang w:val="en-US"/>
                                </w:rPr>
                              </w:pPr>
                              <w:r w:rsidRPr="001C1B65">
                                <w:rPr>
                                  <w:rFonts w:ascii="Book Antiqua" w:hAnsi="Book Antiqua" w:cstheme="majorBidi"/>
                                  <w:sz w:val="20"/>
                                  <w:szCs w:val="20"/>
                                  <w:lang w:val="en-US"/>
                                </w:rPr>
                                <w:t>Tameka Romeo</w:t>
                              </w:r>
                            </w:p>
                            <w:p w14:paraId="781670F5" w14:textId="77777777" w:rsidR="00E92217" w:rsidRPr="001C1B65" w:rsidRDefault="00E92217" w:rsidP="003528B4">
                              <w:pPr>
                                <w:spacing w:after="0" w:line="240" w:lineRule="auto"/>
                                <w:rPr>
                                  <w:rFonts w:ascii="Book Antiqua" w:hAnsi="Book Antiqua" w:cstheme="majorBidi"/>
                                  <w:i/>
                                  <w:iCs/>
                                  <w:sz w:val="18"/>
                                  <w:szCs w:val="18"/>
                                  <w:lang w:val="en-US"/>
                                </w:rPr>
                              </w:pPr>
                              <w:r w:rsidRPr="001C1B65">
                                <w:rPr>
                                  <w:rFonts w:ascii="Book Antiqua" w:hAnsi="Book Antiqua" w:cstheme="majorBidi"/>
                                  <w:i/>
                                  <w:iCs/>
                                  <w:sz w:val="18"/>
                                  <w:szCs w:val="18"/>
                                  <w:lang w:val="en-US"/>
                                </w:rPr>
                                <w:t>Faculty of Psychology and Neuroscience, Forensic Psychology section, Maastricht University</w:t>
                              </w:r>
                            </w:p>
                            <w:p w14:paraId="784B1487" w14:textId="1043E53E" w:rsidR="00E92217" w:rsidRPr="001C1B65" w:rsidRDefault="00E92217" w:rsidP="003528B4">
                              <w:pPr>
                                <w:spacing w:after="0" w:line="240" w:lineRule="auto"/>
                                <w:rPr>
                                  <w:rFonts w:ascii="Book Antiqua" w:hAnsi="Book Antiqua" w:cstheme="majorBidi"/>
                                  <w:sz w:val="20"/>
                                  <w:szCs w:val="20"/>
                                  <w:u w:val="single"/>
                                  <w:lang w:val="en-US"/>
                                </w:rPr>
                              </w:pPr>
                              <w:r w:rsidRPr="001C1B65">
                                <w:rPr>
                                  <w:rFonts w:ascii="Book Antiqua" w:hAnsi="Book Antiqua" w:cstheme="majorBidi"/>
                                  <w:sz w:val="20"/>
                                  <w:szCs w:val="20"/>
                                  <w:lang w:val="en-US"/>
                                </w:rPr>
                                <w:t xml:space="preserve">Email: </w:t>
                              </w:r>
                              <w:hyperlink r:id="rId11" w:history="1">
                                <w:r w:rsidRPr="001C1B65">
                                  <w:rPr>
                                    <w:rStyle w:val="Hyperlink"/>
                                    <w:rFonts w:ascii="Book Antiqua" w:hAnsi="Book Antiqua" w:cstheme="majorBidi"/>
                                    <w:sz w:val="20"/>
                                    <w:szCs w:val="20"/>
                                    <w:lang w:val="en-US"/>
                                  </w:rPr>
                                  <w:t>tameka.romeo@maastrichtuniversity.nl</w:t>
                                </w:r>
                              </w:hyperlink>
                            </w:p>
                            <w:p w14:paraId="2BAA8272" w14:textId="6C6E6C57" w:rsidR="00E92217" w:rsidRPr="001B21F0" w:rsidRDefault="00E92217" w:rsidP="003528B4">
                              <w:pPr>
                                <w:spacing w:after="0" w:line="240" w:lineRule="auto"/>
                                <w:rPr>
                                  <w:rFonts w:ascii="Times New Roman" w:hAnsi="Times New Roman" w:cs="Times New Roman"/>
                                  <w:color w:val="494A4C"/>
                                  <w:sz w:val="20"/>
                                  <w:szCs w:val="20"/>
                                  <w:shd w:val="clear" w:color="auto" w:fill="FFFFFF"/>
                                  <w:lang w:val="en-US"/>
                                </w:rPr>
                              </w:pPr>
                              <w:proofErr w:type="spellStart"/>
                              <w:r w:rsidRPr="001B21F0">
                                <w:rPr>
                                  <w:rFonts w:ascii="Times New Roman" w:hAnsi="Times New Roman" w:cs="Times New Roman"/>
                                  <w:sz w:val="20"/>
                                  <w:szCs w:val="20"/>
                                  <w:u w:val="single"/>
                                  <w:lang w:val="en-US"/>
                                </w:rPr>
                                <w:t>ORCiD</w:t>
                              </w:r>
                              <w:proofErr w:type="spellEnd"/>
                              <w:r w:rsidRPr="001B21F0">
                                <w:rPr>
                                  <w:rFonts w:ascii="Times New Roman" w:hAnsi="Times New Roman" w:cs="Times New Roman"/>
                                  <w:sz w:val="20"/>
                                  <w:szCs w:val="20"/>
                                  <w:u w:val="single"/>
                                  <w:lang w:val="en-US"/>
                                </w:rPr>
                                <w:t xml:space="preserve"> ID: </w:t>
                              </w:r>
                              <w:hyperlink r:id="rId12" w:history="1">
                                <w:r w:rsidRPr="001B21F0">
                                  <w:rPr>
                                    <w:rStyle w:val="Hyperlink"/>
                                    <w:rFonts w:ascii="Times New Roman" w:hAnsi="Times New Roman" w:cs="Times New Roman"/>
                                    <w:sz w:val="20"/>
                                    <w:szCs w:val="20"/>
                                    <w:lang w:val="en-US"/>
                                  </w:rPr>
                                  <w:t>https://orcid.org/0000-0002-5059-7023</w:t>
                                </w:r>
                              </w:hyperlink>
                            </w:p>
                            <w:p w14:paraId="00F35E63" w14:textId="77777777" w:rsidR="00E92217" w:rsidRPr="001C1B65" w:rsidRDefault="00E92217" w:rsidP="003528B4">
                              <w:pPr>
                                <w:spacing w:after="0" w:line="240" w:lineRule="auto"/>
                                <w:rPr>
                                  <w:rFonts w:ascii="Book Antiqua" w:hAnsi="Book Antiqua" w:cstheme="majorBidi"/>
                                  <w:sz w:val="20"/>
                                  <w:szCs w:val="20"/>
                                  <w:u w:val="single"/>
                                  <w:lang w:val="en-U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0" y="0"/>
                            <a:ext cx="3024505"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648051E8" id="Group 22" o:spid="_x0000_s1028" style="position:absolute;left:0;text-align:left;margin-left:218.4pt;margin-top:167.65pt;width:238.15pt;height:100.2pt;z-index:251660288;mso-height-relative:margin" coordsize="30245,11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">
                <v:shape id="Text Box 12" o:spid="_x0000_s1029" type="#_x0000_t202" style="position:absolute;top:118;width:30245;height:1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0040664D" w14:textId="77777777" w:rsidR="00E92217" w:rsidRPr="001C1B65" w:rsidRDefault="00E92217" w:rsidP="003528B4">
                        <w:pPr>
                          <w:spacing w:after="0" w:line="240" w:lineRule="auto"/>
                          <w:ind w:right="25"/>
                          <w:rPr>
                            <w:rFonts w:ascii="Book Antiqua" w:hAnsi="Book Antiqua" w:cstheme="majorBidi"/>
                            <w:b/>
                            <w:bCs/>
                            <w:sz w:val="20"/>
                            <w:szCs w:val="20"/>
                            <w:lang w:val="en-US"/>
                          </w:rPr>
                        </w:pPr>
                        <w:r w:rsidRPr="001C1B65">
                          <w:rPr>
                            <w:rFonts w:ascii="Book Antiqua" w:hAnsi="Book Antiqua" w:cstheme="majorBidi"/>
                            <w:b/>
                            <w:bCs/>
                            <w:sz w:val="20"/>
                            <w:szCs w:val="20"/>
                            <w:lang w:val="en-US"/>
                          </w:rPr>
                          <w:t>Corresponding Author:</w:t>
                        </w:r>
                      </w:p>
                      <w:p w14:paraId="41A1412F" w14:textId="0654A6E3" w:rsidR="00E92217" w:rsidRPr="001C1B65" w:rsidRDefault="00E92217" w:rsidP="003528B4">
                        <w:pPr>
                          <w:spacing w:after="0" w:line="240" w:lineRule="auto"/>
                          <w:ind w:right="25"/>
                          <w:rPr>
                            <w:rFonts w:ascii="Book Antiqua" w:hAnsi="Book Antiqua" w:cstheme="majorBidi"/>
                            <w:sz w:val="20"/>
                            <w:szCs w:val="20"/>
                            <w:lang w:val="en-US"/>
                          </w:rPr>
                        </w:pPr>
                        <w:r w:rsidRPr="001C1B65">
                          <w:rPr>
                            <w:rFonts w:ascii="Book Antiqua" w:hAnsi="Book Antiqua" w:cstheme="majorBidi"/>
                            <w:sz w:val="20"/>
                            <w:szCs w:val="20"/>
                            <w:lang w:val="en-US"/>
                          </w:rPr>
                          <w:t>Tameka Romeo</w:t>
                        </w:r>
                      </w:p>
                      <w:p w14:paraId="781670F5" w14:textId="77777777" w:rsidR="00E92217" w:rsidRPr="001C1B65" w:rsidRDefault="00E92217" w:rsidP="003528B4">
                        <w:pPr>
                          <w:spacing w:after="0" w:line="240" w:lineRule="auto"/>
                          <w:rPr>
                            <w:rFonts w:ascii="Book Antiqua" w:hAnsi="Book Antiqua" w:cstheme="majorBidi"/>
                            <w:i/>
                            <w:iCs/>
                            <w:sz w:val="18"/>
                            <w:szCs w:val="18"/>
                            <w:lang w:val="en-US"/>
                          </w:rPr>
                        </w:pPr>
                        <w:r w:rsidRPr="001C1B65">
                          <w:rPr>
                            <w:rFonts w:ascii="Book Antiqua" w:hAnsi="Book Antiqua" w:cstheme="majorBidi"/>
                            <w:i/>
                            <w:iCs/>
                            <w:sz w:val="18"/>
                            <w:szCs w:val="18"/>
                            <w:lang w:val="en-US"/>
                          </w:rPr>
                          <w:t>Faculty of Psychology and Neuroscience, Forensic Psychology section, Maastricht University</w:t>
                        </w:r>
                      </w:p>
                      <w:p w14:paraId="784B1487" w14:textId="1043E53E" w:rsidR="00E92217" w:rsidRPr="001C1B65" w:rsidRDefault="00E92217" w:rsidP="003528B4">
                        <w:pPr>
                          <w:spacing w:after="0" w:line="240" w:lineRule="auto"/>
                          <w:rPr>
                            <w:rFonts w:ascii="Book Antiqua" w:hAnsi="Book Antiqua" w:cstheme="majorBidi"/>
                            <w:sz w:val="20"/>
                            <w:szCs w:val="20"/>
                            <w:u w:val="single"/>
                            <w:lang w:val="en-US"/>
                          </w:rPr>
                        </w:pPr>
                        <w:r w:rsidRPr="001C1B65">
                          <w:rPr>
                            <w:rFonts w:ascii="Book Antiqua" w:hAnsi="Book Antiqua" w:cstheme="majorBidi"/>
                            <w:sz w:val="20"/>
                            <w:szCs w:val="20"/>
                            <w:lang w:val="en-US"/>
                          </w:rPr>
                          <w:t xml:space="preserve">Email: </w:t>
                        </w:r>
                        <w:hyperlink r:id="rId13" w:history="1">
                          <w:r w:rsidRPr="001C1B65">
                            <w:rPr>
                              <w:rStyle w:val="Hyperlink"/>
                              <w:rFonts w:ascii="Book Antiqua" w:hAnsi="Book Antiqua" w:cstheme="majorBidi"/>
                              <w:sz w:val="20"/>
                              <w:szCs w:val="20"/>
                              <w:lang w:val="en-US"/>
                            </w:rPr>
                            <w:t>tameka.romeo@maastrichtuniversity.nl</w:t>
                          </w:r>
                        </w:hyperlink>
                      </w:p>
                      <w:p w14:paraId="2BAA8272" w14:textId="6C6E6C57" w:rsidR="00E92217" w:rsidRPr="001B21F0" w:rsidRDefault="00E92217" w:rsidP="003528B4">
                        <w:pPr>
                          <w:spacing w:after="0" w:line="240" w:lineRule="auto"/>
                          <w:rPr>
                            <w:rFonts w:ascii="Times New Roman" w:hAnsi="Times New Roman" w:cs="Times New Roman"/>
                            <w:color w:val="494A4C"/>
                            <w:sz w:val="20"/>
                            <w:szCs w:val="20"/>
                            <w:shd w:val="clear" w:color="auto" w:fill="FFFFFF"/>
                            <w:lang w:val="en-US"/>
                          </w:rPr>
                        </w:pPr>
                        <w:proofErr w:type="spellStart"/>
                        <w:r w:rsidRPr="001B21F0">
                          <w:rPr>
                            <w:rFonts w:ascii="Times New Roman" w:hAnsi="Times New Roman" w:cs="Times New Roman"/>
                            <w:sz w:val="20"/>
                            <w:szCs w:val="20"/>
                            <w:u w:val="single"/>
                            <w:lang w:val="en-US"/>
                          </w:rPr>
                          <w:t>ORCiD</w:t>
                        </w:r>
                        <w:proofErr w:type="spellEnd"/>
                        <w:r w:rsidRPr="001B21F0">
                          <w:rPr>
                            <w:rFonts w:ascii="Times New Roman" w:hAnsi="Times New Roman" w:cs="Times New Roman"/>
                            <w:sz w:val="20"/>
                            <w:szCs w:val="20"/>
                            <w:u w:val="single"/>
                            <w:lang w:val="en-US"/>
                          </w:rPr>
                          <w:t xml:space="preserve"> ID: </w:t>
                        </w:r>
                        <w:hyperlink r:id="rId14" w:history="1">
                          <w:r w:rsidRPr="001B21F0">
                            <w:rPr>
                              <w:rStyle w:val="Hyperlink"/>
                              <w:rFonts w:ascii="Times New Roman" w:hAnsi="Times New Roman" w:cs="Times New Roman"/>
                              <w:sz w:val="20"/>
                              <w:szCs w:val="20"/>
                              <w:lang w:val="en-US"/>
                            </w:rPr>
                            <w:t>https://orcid.org/0000-0002-5059-7023</w:t>
                          </w:r>
                        </w:hyperlink>
                      </w:p>
                      <w:p w14:paraId="00F35E63" w14:textId="77777777" w:rsidR="00E92217" w:rsidRPr="001C1B65" w:rsidRDefault="00E92217" w:rsidP="003528B4">
                        <w:pPr>
                          <w:spacing w:after="0" w:line="240" w:lineRule="auto"/>
                          <w:rPr>
                            <w:rFonts w:ascii="Book Antiqua" w:hAnsi="Book Antiqua" w:cstheme="majorBidi"/>
                            <w:sz w:val="20"/>
                            <w:szCs w:val="20"/>
                            <w:u w:val="single"/>
                            <w:lang w:val="en-US"/>
                          </w:rPr>
                        </w:pPr>
                      </w:p>
                    </w:txbxContent>
                  </v:textbox>
                </v:shape>
                <v:line id="Straight Connector 25" o:spid="_x0000_s1030" style="position:absolute;visibility:visible;mso-wrap-style:square" from="0,0" to="302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" strokecolor="black [3040]" strokeweight="1.5pt"/>
                <w10:wrap type="topAndBottom"/>
              </v:group>
            </w:pict>
          </mc:Fallback>
        </mc:AlternateContent>
      </w:r>
      <w:r w:rsidR="00412B48" w:rsidRPr="001B21F0">
        <w:rPr>
          <w:rFonts w:ascii="Book Antiqua" w:hAnsi="Book Antiqua" w:cs="Times New Roman"/>
          <w:lang w:val="en-US"/>
        </w:rPr>
        <w:t xml:space="preserve">hild sexual abuse (CSA) is a societal </w:t>
      </w:r>
      <w:r w:rsidR="00E52189" w:rsidRPr="001B21F0">
        <w:rPr>
          <w:rFonts w:ascii="Book Antiqua" w:hAnsi="Book Antiqua" w:cs="Times New Roman"/>
          <w:lang w:val="en-US"/>
        </w:rPr>
        <w:t>health problem</w:t>
      </w:r>
      <w:r w:rsidR="00412B48" w:rsidRPr="001B21F0">
        <w:rPr>
          <w:rFonts w:ascii="Book Antiqua" w:hAnsi="Book Antiqua" w:cs="Times New Roman"/>
          <w:lang w:val="en-US"/>
        </w:rPr>
        <w:t xml:space="preserve"> on a global scale. The most updated data</w:t>
      </w:r>
      <w:r w:rsidR="008B66E2" w:rsidRPr="001B21F0">
        <w:rPr>
          <w:rFonts w:ascii="Book Antiqua" w:hAnsi="Book Antiqua" w:cs="Times New Roman"/>
          <w:lang w:val="en-US"/>
        </w:rPr>
        <w:t xml:space="preserve"> </w:t>
      </w:r>
      <w:r w:rsidR="00412B48" w:rsidRPr="001B21F0">
        <w:rPr>
          <w:rFonts w:ascii="Book Antiqua" w:hAnsi="Book Antiqua" w:cs="Times New Roman"/>
          <w:lang w:val="en-US"/>
        </w:rPr>
        <w:t xml:space="preserve">report that 1 in 5 women </w:t>
      </w:r>
      <w:r w:rsidR="00DB71B1" w:rsidRPr="001B21F0">
        <w:rPr>
          <w:rFonts w:ascii="Book Antiqua" w:hAnsi="Book Antiqua" w:cs="Times New Roman"/>
          <w:lang w:val="en-US"/>
        </w:rPr>
        <w:t>and 1 in 13 men have</w:t>
      </w:r>
      <w:r w:rsidR="00412B48" w:rsidRPr="001B21F0">
        <w:rPr>
          <w:rFonts w:ascii="Book Antiqua" w:hAnsi="Book Antiqua" w:cs="Times New Roman"/>
          <w:lang w:val="en-US"/>
        </w:rPr>
        <w:t xml:space="preserve"> been a victim of CSA</w:t>
      </w:r>
      <w:r w:rsidR="009D2AA5" w:rsidRPr="001B21F0">
        <w:rPr>
          <w:rFonts w:ascii="Book Antiqua" w:hAnsi="Book Antiqua" w:cs="Times New Roman"/>
          <w:lang w:val="en-US"/>
        </w:rPr>
        <w:t xml:space="preserve"> (W</w:t>
      </w:r>
      <w:r w:rsidR="005E32A1" w:rsidRPr="001B21F0">
        <w:rPr>
          <w:rFonts w:ascii="Book Antiqua" w:hAnsi="Book Antiqua" w:cs="Times New Roman"/>
          <w:lang w:val="en-US"/>
        </w:rPr>
        <w:t>orld Health Organization</w:t>
      </w:r>
      <w:r w:rsidR="009D2AA5" w:rsidRPr="001B21F0">
        <w:rPr>
          <w:rFonts w:ascii="Book Antiqua" w:hAnsi="Book Antiqua" w:cs="Times New Roman"/>
          <w:lang w:val="en-US"/>
        </w:rPr>
        <w:t>, 2016)</w:t>
      </w:r>
      <w:r w:rsidR="00412B48" w:rsidRPr="001B21F0">
        <w:rPr>
          <w:rFonts w:ascii="Book Antiqua" w:hAnsi="Book Antiqua" w:cs="Times New Roman"/>
          <w:lang w:val="en-US"/>
        </w:rPr>
        <w:t xml:space="preserve">. The immediate and </w:t>
      </w:r>
      <w:r w:rsidR="00E52189" w:rsidRPr="001B21F0">
        <w:rPr>
          <w:rFonts w:ascii="Book Antiqua" w:hAnsi="Book Antiqua" w:cs="Times New Roman"/>
          <w:lang w:val="en-US"/>
        </w:rPr>
        <w:t>long-term</w:t>
      </w:r>
      <w:r w:rsidR="00412B48" w:rsidRPr="001B21F0">
        <w:rPr>
          <w:rFonts w:ascii="Book Antiqua" w:hAnsi="Book Antiqua" w:cs="Times New Roman"/>
          <w:lang w:val="en-US"/>
        </w:rPr>
        <w:t xml:space="preserve"> effects of CSA can be </w:t>
      </w:r>
      <w:r w:rsidR="005335F9" w:rsidRPr="001B21F0">
        <w:rPr>
          <w:rFonts w:ascii="Book Antiqua" w:hAnsi="Book Antiqua" w:cs="Times New Roman"/>
          <w:lang w:val="en-US"/>
        </w:rPr>
        <w:t>debilitating</w:t>
      </w:r>
      <w:r w:rsidR="009D2AA5" w:rsidRPr="001B21F0">
        <w:rPr>
          <w:rFonts w:ascii="Book Antiqua" w:hAnsi="Book Antiqua" w:cs="Times New Roman"/>
          <w:lang w:val="en-US"/>
        </w:rPr>
        <w:t xml:space="preserve"> and fatal. </w:t>
      </w:r>
      <w:r w:rsidR="00DB71B1" w:rsidRPr="001B21F0">
        <w:rPr>
          <w:rFonts w:ascii="Book Antiqua" w:hAnsi="Book Antiqua" w:cs="Times New Roman"/>
          <w:lang w:val="en-US"/>
        </w:rPr>
        <w:t>V</w:t>
      </w:r>
      <w:r w:rsidR="009D2AA5" w:rsidRPr="001B21F0">
        <w:rPr>
          <w:rFonts w:ascii="Book Antiqua" w:hAnsi="Book Antiqua" w:cs="Times New Roman"/>
          <w:lang w:val="en-US"/>
        </w:rPr>
        <w:t>ictims of</w:t>
      </w:r>
      <w:r w:rsidR="00DB71B1" w:rsidRPr="001B21F0">
        <w:rPr>
          <w:rFonts w:ascii="Book Antiqua" w:hAnsi="Book Antiqua" w:cs="Times New Roman"/>
          <w:lang w:val="en-US"/>
        </w:rPr>
        <w:t xml:space="preserve"> CSA are at great risk of developing mental health problems</w:t>
      </w:r>
      <w:r w:rsidR="00DD4119" w:rsidRPr="001B21F0">
        <w:rPr>
          <w:rFonts w:ascii="Book Antiqua" w:hAnsi="Book Antiqua" w:cs="Times New Roman"/>
          <w:lang w:val="en-US"/>
        </w:rPr>
        <w:t>,</w:t>
      </w:r>
      <w:r w:rsidR="008F7E28" w:rsidRPr="001B21F0">
        <w:rPr>
          <w:rFonts w:ascii="Book Antiqua" w:hAnsi="Book Antiqua" w:cs="Times New Roman"/>
          <w:lang w:val="en-US"/>
        </w:rPr>
        <w:t xml:space="preserve"> </w:t>
      </w:r>
      <w:r w:rsidR="005335F9" w:rsidRPr="001B21F0">
        <w:rPr>
          <w:rFonts w:ascii="Book Antiqua" w:hAnsi="Book Antiqua" w:cs="Times New Roman"/>
          <w:lang w:val="en-US"/>
        </w:rPr>
        <w:t xml:space="preserve">such as </w:t>
      </w:r>
      <w:r w:rsidR="00DB71B1" w:rsidRPr="001B21F0">
        <w:rPr>
          <w:rFonts w:ascii="Book Antiqua" w:hAnsi="Book Antiqua" w:cs="Times New Roman"/>
          <w:lang w:val="en-US"/>
        </w:rPr>
        <w:t>depression (</w:t>
      </w:r>
      <w:r w:rsidR="00DB71B1" w:rsidRPr="001B21F0">
        <w:rPr>
          <w:rFonts w:ascii="Book Antiqua" w:hAnsi="Book Antiqua" w:cs="Times New Roman"/>
          <w:noProof/>
          <w:lang w:val="en-US"/>
        </w:rPr>
        <w:t>Putnam, 2003)</w:t>
      </w:r>
      <w:r w:rsidR="00850138" w:rsidRPr="001B21F0">
        <w:rPr>
          <w:rFonts w:ascii="Book Antiqua" w:hAnsi="Book Antiqua" w:cs="Times New Roman"/>
          <w:noProof/>
          <w:lang w:val="en-US"/>
        </w:rPr>
        <w:t>,</w:t>
      </w:r>
      <w:r w:rsidR="00DB71B1" w:rsidRPr="001B21F0">
        <w:rPr>
          <w:rFonts w:ascii="Book Antiqua" w:hAnsi="Book Antiqua" w:cs="Times New Roman"/>
          <w:lang w:val="en-US"/>
        </w:rPr>
        <w:t xml:space="preserve"> </w:t>
      </w:r>
      <w:r w:rsidR="005335F9" w:rsidRPr="001B21F0">
        <w:rPr>
          <w:rFonts w:ascii="Book Antiqua" w:hAnsi="Book Antiqua" w:cs="Times New Roman"/>
          <w:lang w:val="en-US"/>
        </w:rPr>
        <w:t xml:space="preserve">post-traumatic stress disorder </w:t>
      </w:r>
      <w:r w:rsidR="008F7E28" w:rsidRPr="001B21F0">
        <w:rPr>
          <w:rFonts w:ascii="Book Antiqua" w:hAnsi="Book Antiqua" w:cs="Times New Roman"/>
          <w:lang w:val="en-US"/>
        </w:rPr>
        <w:t xml:space="preserve">(Shapiro, </w:t>
      </w:r>
      <w:proofErr w:type="spellStart"/>
      <w:r w:rsidR="008F7E28" w:rsidRPr="001B21F0">
        <w:rPr>
          <w:rFonts w:ascii="Book Antiqua" w:hAnsi="Book Antiqua" w:cs="Times New Roman"/>
          <w:lang w:val="en-US"/>
        </w:rPr>
        <w:t>Kaplow</w:t>
      </w:r>
      <w:proofErr w:type="spellEnd"/>
      <w:r w:rsidR="008F7E28" w:rsidRPr="001B21F0">
        <w:rPr>
          <w:rFonts w:ascii="Book Antiqua" w:hAnsi="Book Antiqua" w:cs="Times New Roman"/>
          <w:lang w:val="en-US"/>
        </w:rPr>
        <w:t>, Amaya-Jackson, &amp; Dodge, 2012)</w:t>
      </w:r>
      <w:r w:rsidR="00850138" w:rsidRPr="001B21F0">
        <w:rPr>
          <w:rFonts w:ascii="Book Antiqua" w:hAnsi="Book Antiqua" w:cs="Times New Roman"/>
          <w:lang w:val="en-US"/>
        </w:rPr>
        <w:t xml:space="preserve">, experiencing </w:t>
      </w:r>
      <w:r w:rsidR="005335F9" w:rsidRPr="001B21F0">
        <w:rPr>
          <w:rFonts w:ascii="Book Antiqua" w:hAnsi="Book Antiqua" w:cs="Times New Roman"/>
          <w:lang w:val="en-US"/>
        </w:rPr>
        <w:t>suicidal ideation</w:t>
      </w:r>
      <w:r w:rsidR="00686356" w:rsidRPr="001B21F0">
        <w:rPr>
          <w:rFonts w:ascii="Book Antiqua" w:hAnsi="Book Antiqua" w:cs="Times New Roman"/>
          <w:lang w:val="en-US"/>
        </w:rPr>
        <w:t>,</w:t>
      </w:r>
      <w:r w:rsidR="005335F9" w:rsidRPr="001B21F0">
        <w:rPr>
          <w:rFonts w:ascii="Book Antiqua" w:hAnsi="Book Antiqua" w:cs="Times New Roman"/>
          <w:lang w:val="en-US"/>
        </w:rPr>
        <w:t xml:space="preserve"> and </w:t>
      </w:r>
      <w:r w:rsidR="009D2AA5" w:rsidRPr="001B21F0">
        <w:rPr>
          <w:rFonts w:ascii="Book Antiqua" w:hAnsi="Book Antiqua" w:cs="Times New Roman"/>
          <w:lang w:val="en-US"/>
        </w:rPr>
        <w:t>committing suicide</w:t>
      </w:r>
      <w:r w:rsidR="008F7E28" w:rsidRPr="001B21F0">
        <w:rPr>
          <w:rFonts w:ascii="Book Antiqua" w:hAnsi="Book Antiqua" w:cs="Times New Roman"/>
          <w:lang w:val="en-US"/>
        </w:rPr>
        <w:t xml:space="preserve"> (</w:t>
      </w:r>
      <w:r w:rsidR="005335F9" w:rsidRPr="001B21F0">
        <w:rPr>
          <w:rFonts w:ascii="Book Antiqua" w:hAnsi="Book Antiqua" w:cs="Times New Roman"/>
          <w:lang w:val="en-US"/>
        </w:rPr>
        <w:t xml:space="preserve">Gladstone et al., 2004; </w:t>
      </w:r>
      <w:r w:rsidR="005335F9" w:rsidRPr="001B21F0">
        <w:rPr>
          <w:rFonts w:ascii="Book Antiqua" w:hAnsi="Book Antiqua" w:cs="Times New Roman"/>
          <w:noProof/>
          <w:lang w:val="en-US"/>
        </w:rPr>
        <w:t xml:space="preserve">Maniglio, 2011; </w:t>
      </w:r>
      <w:r w:rsidR="008F7E28" w:rsidRPr="001B21F0">
        <w:rPr>
          <w:rFonts w:ascii="Book Antiqua" w:hAnsi="Book Antiqua" w:cs="Times New Roman"/>
          <w:lang w:val="en-US"/>
        </w:rPr>
        <w:t>O’</w:t>
      </w:r>
      <w:r w:rsidR="00DB71B1" w:rsidRPr="001B21F0">
        <w:rPr>
          <w:rFonts w:ascii="Book Antiqua" w:hAnsi="Book Antiqua" w:cs="Times New Roman"/>
          <w:lang w:val="en-US"/>
        </w:rPr>
        <w:t>Brien &amp; Sher, 2013)</w:t>
      </w:r>
      <w:r w:rsidR="009D2AA5" w:rsidRPr="001B21F0">
        <w:rPr>
          <w:rFonts w:ascii="Book Antiqua" w:hAnsi="Book Antiqua" w:cs="Times New Roman"/>
          <w:lang w:val="en-US"/>
        </w:rPr>
        <w:t xml:space="preserve">. </w:t>
      </w:r>
      <w:r w:rsidR="00850138" w:rsidRPr="001B21F0">
        <w:rPr>
          <w:rFonts w:ascii="Book Antiqua" w:hAnsi="Book Antiqua" w:cs="Times New Roman"/>
          <w:lang w:val="en-US"/>
        </w:rPr>
        <w:t>With such disastrous outcomes</w:t>
      </w:r>
      <w:r w:rsidR="00DB71B1" w:rsidRPr="001B21F0">
        <w:rPr>
          <w:rFonts w:ascii="Book Antiqua" w:hAnsi="Book Antiqua" w:cs="Times New Roman"/>
          <w:lang w:val="en-US"/>
        </w:rPr>
        <w:t xml:space="preserve">, victims may </w:t>
      </w:r>
      <w:r w:rsidR="00DD4119" w:rsidRPr="001B21F0">
        <w:rPr>
          <w:rFonts w:ascii="Book Antiqua" w:hAnsi="Book Antiqua" w:cs="Times New Roman"/>
          <w:lang w:val="en-US"/>
        </w:rPr>
        <w:t xml:space="preserve">understandably </w:t>
      </w:r>
      <w:r w:rsidR="00DB71B1" w:rsidRPr="001B21F0">
        <w:rPr>
          <w:rFonts w:ascii="Book Antiqua" w:hAnsi="Book Antiqua" w:cs="Times New Roman"/>
          <w:lang w:val="en-US"/>
        </w:rPr>
        <w:t>respond to the experience of CSA by employing</w:t>
      </w:r>
      <w:r w:rsidR="004F6BD5" w:rsidRPr="001B21F0">
        <w:rPr>
          <w:rFonts w:ascii="Book Antiqua" w:hAnsi="Book Antiqua" w:cs="Times New Roman"/>
          <w:lang w:val="en-US"/>
        </w:rPr>
        <w:t xml:space="preserve"> certain</w:t>
      </w:r>
      <w:r w:rsidR="00DB71B1" w:rsidRPr="001B21F0">
        <w:rPr>
          <w:rFonts w:ascii="Book Antiqua" w:hAnsi="Book Antiqua" w:cs="Times New Roman"/>
          <w:lang w:val="en-US"/>
        </w:rPr>
        <w:t xml:space="preserve"> coping mechanisms. We will illustrate this by highlighting the Anthony Hopkins case.</w:t>
      </w:r>
      <w:r w:rsidR="00412B48" w:rsidRPr="001B21F0">
        <w:rPr>
          <w:rFonts w:ascii="Book Antiqua" w:hAnsi="Book Antiqua" w:cs="Times New Roman"/>
          <w:lang w:val="en-US"/>
        </w:rPr>
        <w:t xml:space="preserve"> </w:t>
      </w:r>
    </w:p>
    <w:p w14:paraId="3B5E7FA0" w14:textId="5D0A2AA8" w:rsidR="00D4694C" w:rsidRPr="001B21F0" w:rsidRDefault="00D4694C" w:rsidP="00C41F6B">
      <w:pPr>
        <w:spacing w:after="0" w:line="240" w:lineRule="auto"/>
        <w:jc w:val="both"/>
        <w:rPr>
          <w:rFonts w:ascii="Book Antiqua" w:hAnsi="Book Antiqua" w:cs="Times New Roman"/>
          <w:lang w:val="en-US"/>
        </w:rPr>
      </w:pPr>
      <w:r w:rsidRPr="001B21F0">
        <w:rPr>
          <w:rFonts w:ascii="Book Antiqua" w:hAnsi="Book Antiqua" w:cs="Times New Roman"/>
          <w:lang w:val="en-US"/>
        </w:rPr>
        <w:t xml:space="preserve">In </w:t>
      </w:r>
      <w:r w:rsidR="00E52189" w:rsidRPr="001B21F0">
        <w:rPr>
          <w:rFonts w:ascii="Book Antiqua" w:hAnsi="Book Antiqua" w:cs="Times New Roman"/>
          <w:lang w:val="en-US"/>
        </w:rPr>
        <w:t>2010,</w:t>
      </w:r>
      <w:r w:rsidRPr="001B21F0">
        <w:rPr>
          <w:rFonts w:ascii="Book Antiqua" w:hAnsi="Book Antiqua" w:cs="Times New Roman"/>
          <w:lang w:val="en-US"/>
        </w:rPr>
        <w:t xml:space="preserve"> Pastor Anthony Hopkins was sentenced to life in prison plus 51 years for the murder of his wife Arletha Hopkins and the sexual abuse, rape, sodomization, and incest of Arletha’s two eldest daughters from a previous relationship</w:t>
      </w:r>
      <w:r w:rsidR="0002152B" w:rsidRPr="001B21F0">
        <w:rPr>
          <w:rFonts w:ascii="Book Antiqua" w:hAnsi="Book Antiqua" w:cs="Times New Roman"/>
          <w:lang w:val="en-US"/>
        </w:rPr>
        <w:t xml:space="preserve"> (</w:t>
      </w:r>
      <w:proofErr w:type="spellStart"/>
      <w:r w:rsidR="0002152B" w:rsidRPr="001B21F0">
        <w:rPr>
          <w:rFonts w:ascii="Book Antiqua" w:hAnsi="Book Antiqua" w:cs="Times New Roman"/>
          <w:lang w:val="en-US"/>
        </w:rPr>
        <w:t>Shantelle</w:t>
      </w:r>
      <w:proofErr w:type="spellEnd"/>
      <w:r w:rsidR="0002152B" w:rsidRPr="001B21F0">
        <w:rPr>
          <w:rFonts w:ascii="Book Antiqua" w:hAnsi="Book Antiqua" w:cs="Times New Roman"/>
          <w:lang w:val="en-US"/>
        </w:rPr>
        <w:t xml:space="preserve"> and Tasha)</w:t>
      </w:r>
      <w:r w:rsidRPr="001B21F0">
        <w:rPr>
          <w:rFonts w:ascii="Book Antiqua" w:hAnsi="Book Antiqua" w:cs="Times New Roman"/>
          <w:lang w:val="en-US"/>
        </w:rPr>
        <w:t xml:space="preserve">. Details of the murder and sexual abuse came to the </w:t>
      </w:r>
      <w:r w:rsidR="004C3E82" w:rsidRPr="001B21F0">
        <w:rPr>
          <w:rFonts w:ascii="Book Antiqua" w:hAnsi="Book Antiqua" w:cs="Times New Roman"/>
          <w:lang w:val="en-US"/>
        </w:rPr>
        <w:t xml:space="preserve">police’s </w:t>
      </w:r>
      <w:r w:rsidRPr="001B21F0">
        <w:rPr>
          <w:rFonts w:ascii="Book Antiqua" w:hAnsi="Book Antiqua" w:cs="Times New Roman"/>
          <w:lang w:val="en-US"/>
        </w:rPr>
        <w:t xml:space="preserve">attention after </w:t>
      </w:r>
      <w:proofErr w:type="spellStart"/>
      <w:r w:rsidRPr="001B21F0">
        <w:rPr>
          <w:rFonts w:ascii="Book Antiqua" w:hAnsi="Book Antiqua" w:cs="Times New Roman"/>
          <w:lang w:val="en-US"/>
        </w:rPr>
        <w:t>Shantelle</w:t>
      </w:r>
      <w:proofErr w:type="spellEnd"/>
      <w:r w:rsidRPr="001B21F0">
        <w:rPr>
          <w:rFonts w:ascii="Book Antiqua" w:hAnsi="Book Antiqua" w:cs="Times New Roman"/>
          <w:lang w:val="en-US"/>
        </w:rPr>
        <w:t xml:space="preserve"> (19 years old </w:t>
      </w:r>
      <w:r w:rsidR="004C3E82" w:rsidRPr="001B21F0">
        <w:rPr>
          <w:rFonts w:ascii="Book Antiqua" w:hAnsi="Book Antiqua" w:cs="Times New Roman"/>
          <w:lang w:val="en-US"/>
        </w:rPr>
        <w:t xml:space="preserve">and pregnant </w:t>
      </w:r>
      <w:r w:rsidRPr="001B21F0">
        <w:rPr>
          <w:rFonts w:ascii="Book Antiqua" w:hAnsi="Book Antiqua" w:cs="Times New Roman"/>
          <w:lang w:val="en-US"/>
        </w:rPr>
        <w:t>at the time) disclosed to a neighbor and</w:t>
      </w:r>
      <w:r w:rsidR="007F5A32" w:rsidRPr="001B21F0">
        <w:rPr>
          <w:rFonts w:ascii="Book Antiqua" w:hAnsi="Book Antiqua" w:cs="Times New Roman"/>
          <w:lang w:val="en-US"/>
        </w:rPr>
        <w:t xml:space="preserve"> the </w:t>
      </w:r>
      <w:r w:rsidR="005E32A1" w:rsidRPr="001B21F0">
        <w:rPr>
          <w:rFonts w:ascii="Book Antiqua" w:hAnsi="Book Antiqua" w:cs="Times New Roman"/>
          <w:lang w:val="en-US"/>
        </w:rPr>
        <w:t xml:space="preserve">Hopkins </w:t>
      </w:r>
      <w:r w:rsidR="007F5A32" w:rsidRPr="001B21F0">
        <w:rPr>
          <w:rFonts w:ascii="Book Antiqua" w:hAnsi="Book Antiqua" w:cs="Times New Roman"/>
          <w:lang w:val="en-US"/>
        </w:rPr>
        <w:t>family’s</w:t>
      </w:r>
      <w:r w:rsidRPr="001B21F0">
        <w:rPr>
          <w:rFonts w:ascii="Book Antiqua" w:hAnsi="Book Antiqua" w:cs="Times New Roman"/>
          <w:lang w:val="en-US"/>
        </w:rPr>
        <w:t xml:space="preserve"> pastor </w:t>
      </w:r>
      <w:r w:rsidR="004C3E82" w:rsidRPr="001B21F0">
        <w:rPr>
          <w:rFonts w:ascii="Book Antiqua" w:hAnsi="Book Antiqua" w:cs="Times New Roman"/>
          <w:lang w:val="en-US"/>
        </w:rPr>
        <w:t>that she had been</w:t>
      </w:r>
      <w:r w:rsidRPr="001B21F0">
        <w:rPr>
          <w:rFonts w:ascii="Book Antiqua" w:hAnsi="Book Antiqua" w:cs="Times New Roman"/>
          <w:lang w:val="en-US"/>
        </w:rPr>
        <w:t xml:space="preserve"> abuse</w:t>
      </w:r>
      <w:r w:rsidR="004C3E82" w:rsidRPr="001B21F0">
        <w:rPr>
          <w:rFonts w:ascii="Book Antiqua" w:hAnsi="Book Antiqua" w:cs="Times New Roman"/>
          <w:lang w:val="en-US"/>
        </w:rPr>
        <w:t xml:space="preserve">d by Anthony since she was 11 years old. </w:t>
      </w:r>
      <w:proofErr w:type="spellStart"/>
      <w:r w:rsidRPr="001B21F0">
        <w:rPr>
          <w:rFonts w:ascii="Book Antiqua" w:hAnsi="Book Antiqua" w:cs="Times New Roman"/>
          <w:lang w:val="en-US"/>
        </w:rPr>
        <w:t>Shantelle</w:t>
      </w:r>
      <w:proofErr w:type="spellEnd"/>
      <w:r w:rsidRPr="001B21F0">
        <w:rPr>
          <w:rFonts w:ascii="Book Antiqua" w:hAnsi="Book Antiqua" w:cs="Times New Roman"/>
          <w:lang w:val="en-US"/>
        </w:rPr>
        <w:t xml:space="preserve"> told </w:t>
      </w:r>
      <w:r w:rsidR="00BF16D3" w:rsidRPr="001B21F0">
        <w:rPr>
          <w:rFonts w:ascii="Book Antiqua" w:hAnsi="Book Antiqua" w:cs="Times New Roman"/>
          <w:lang w:val="en-US"/>
        </w:rPr>
        <w:t xml:space="preserve">the </w:t>
      </w:r>
      <w:r w:rsidRPr="001B21F0">
        <w:rPr>
          <w:rFonts w:ascii="Book Antiqua" w:hAnsi="Book Antiqua" w:cs="Times New Roman"/>
          <w:lang w:val="en-US"/>
        </w:rPr>
        <w:t>pastor that she knew Anthony ha</w:t>
      </w:r>
      <w:r w:rsidR="003E4923" w:rsidRPr="001B21F0">
        <w:rPr>
          <w:rFonts w:ascii="Book Antiqua" w:hAnsi="Book Antiqua" w:cs="Times New Roman"/>
          <w:lang w:val="en-US"/>
        </w:rPr>
        <w:t>d</w:t>
      </w:r>
      <w:r w:rsidRPr="001B21F0">
        <w:rPr>
          <w:rFonts w:ascii="Book Antiqua" w:hAnsi="Book Antiqua" w:cs="Times New Roman"/>
          <w:lang w:val="en-US"/>
        </w:rPr>
        <w:t xml:space="preserve"> also begun to </w:t>
      </w:r>
      <w:r w:rsidRPr="001B21F0">
        <w:rPr>
          <w:rFonts w:ascii="Book Antiqua" w:hAnsi="Book Antiqua" w:cs="Times New Roman"/>
          <w:lang w:val="en-US"/>
        </w:rPr>
        <w:lastRenderedPageBreak/>
        <w:t>abuse Tasha</w:t>
      </w:r>
      <w:r w:rsidR="004C3E82" w:rsidRPr="001B21F0">
        <w:rPr>
          <w:rFonts w:ascii="Book Antiqua" w:hAnsi="Book Antiqua" w:cs="Times New Roman"/>
          <w:lang w:val="en-US"/>
        </w:rPr>
        <w:t xml:space="preserve"> (</w:t>
      </w:r>
      <w:r w:rsidR="0052291C" w:rsidRPr="001B21F0">
        <w:rPr>
          <w:rFonts w:ascii="Book Antiqua" w:hAnsi="Book Antiqua" w:cs="Times New Roman"/>
          <w:lang w:val="en-US"/>
        </w:rPr>
        <w:t>17</w:t>
      </w:r>
      <w:r w:rsidR="004C3E82" w:rsidRPr="001B21F0">
        <w:rPr>
          <w:rFonts w:ascii="Book Antiqua" w:hAnsi="Book Antiqua" w:cs="Times New Roman"/>
          <w:lang w:val="en-US"/>
        </w:rPr>
        <w:t xml:space="preserve"> year</w:t>
      </w:r>
      <w:r w:rsidR="00DD4119" w:rsidRPr="001B21F0">
        <w:rPr>
          <w:rFonts w:ascii="Book Antiqua" w:hAnsi="Book Antiqua" w:cs="Times New Roman"/>
          <w:lang w:val="en-US"/>
        </w:rPr>
        <w:t>s</w:t>
      </w:r>
      <w:r w:rsidR="004C3E82" w:rsidRPr="001B21F0">
        <w:rPr>
          <w:rFonts w:ascii="Book Antiqua" w:hAnsi="Book Antiqua" w:cs="Times New Roman"/>
          <w:lang w:val="en-US"/>
        </w:rPr>
        <w:t xml:space="preserve"> old at the time)</w:t>
      </w:r>
      <w:r w:rsidRPr="001B21F0">
        <w:rPr>
          <w:rFonts w:ascii="Book Antiqua" w:hAnsi="Book Antiqua" w:cs="Times New Roman"/>
          <w:lang w:val="en-US"/>
        </w:rPr>
        <w:t xml:space="preserve">. </w:t>
      </w:r>
      <w:proofErr w:type="spellStart"/>
      <w:r w:rsidR="00B931BE" w:rsidRPr="001B21F0">
        <w:rPr>
          <w:rFonts w:ascii="Book Antiqua" w:hAnsi="Book Antiqua" w:cs="Times New Roman"/>
          <w:lang w:val="en-US"/>
        </w:rPr>
        <w:t>Shantelle</w:t>
      </w:r>
      <w:proofErr w:type="spellEnd"/>
      <w:r w:rsidR="00B931BE" w:rsidRPr="001B21F0">
        <w:rPr>
          <w:rFonts w:ascii="Book Antiqua" w:hAnsi="Book Antiqua" w:cs="Times New Roman"/>
          <w:lang w:val="en-US"/>
        </w:rPr>
        <w:t xml:space="preserve"> </w:t>
      </w:r>
      <w:r w:rsidR="00FD5350" w:rsidRPr="001B21F0">
        <w:rPr>
          <w:rFonts w:ascii="Book Antiqua" w:hAnsi="Book Antiqua" w:cs="Times New Roman"/>
          <w:lang w:val="en-US"/>
        </w:rPr>
        <w:t xml:space="preserve">also </w:t>
      </w:r>
      <w:r w:rsidR="00B931BE" w:rsidRPr="001B21F0">
        <w:rPr>
          <w:rFonts w:ascii="Book Antiqua" w:hAnsi="Book Antiqua" w:cs="Times New Roman"/>
          <w:lang w:val="en-US"/>
        </w:rPr>
        <w:t xml:space="preserve">revealed that Anthony referred to the biblical story of Lot having sex with his daughters to justify the abuse. </w:t>
      </w:r>
      <w:r w:rsidRPr="001B21F0">
        <w:rPr>
          <w:rFonts w:ascii="Book Antiqua" w:hAnsi="Book Antiqua" w:cs="Times New Roman"/>
          <w:lang w:val="en-US"/>
        </w:rPr>
        <w:t xml:space="preserve">The </w:t>
      </w:r>
      <w:r w:rsidR="00B931BE" w:rsidRPr="001B21F0">
        <w:rPr>
          <w:rFonts w:ascii="Book Antiqua" w:hAnsi="Book Antiqua" w:cs="Times New Roman"/>
          <w:lang w:val="en-US"/>
        </w:rPr>
        <w:t xml:space="preserve">family </w:t>
      </w:r>
      <w:r w:rsidRPr="001B21F0">
        <w:rPr>
          <w:rFonts w:ascii="Book Antiqua" w:hAnsi="Book Antiqua" w:cs="Times New Roman"/>
          <w:lang w:val="en-US"/>
        </w:rPr>
        <w:t xml:space="preserve">pastor completely rejected </w:t>
      </w:r>
      <w:proofErr w:type="spellStart"/>
      <w:r w:rsidRPr="001B21F0">
        <w:rPr>
          <w:rFonts w:ascii="Book Antiqua" w:hAnsi="Book Antiqua" w:cs="Times New Roman"/>
          <w:lang w:val="en-US"/>
        </w:rPr>
        <w:t>Shantelle’s</w:t>
      </w:r>
      <w:proofErr w:type="spellEnd"/>
      <w:r w:rsidRPr="001B21F0">
        <w:rPr>
          <w:rFonts w:ascii="Book Antiqua" w:hAnsi="Book Antiqua" w:cs="Times New Roman"/>
          <w:lang w:val="en-US"/>
        </w:rPr>
        <w:t xml:space="preserve"> disclosures. </w:t>
      </w:r>
      <w:r w:rsidR="007F5A32" w:rsidRPr="001B21F0">
        <w:rPr>
          <w:rFonts w:ascii="Book Antiqua" w:hAnsi="Book Antiqua" w:cs="Times New Roman"/>
          <w:lang w:val="en-US"/>
        </w:rPr>
        <w:t>Unfortunately</w:t>
      </w:r>
      <w:r w:rsidR="00DD4119" w:rsidRPr="001B21F0">
        <w:rPr>
          <w:rFonts w:ascii="Book Antiqua" w:hAnsi="Book Antiqua" w:cs="Times New Roman"/>
          <w:lang w:val="en-US"/>
        </w:rPr>
        <w:t>,</w:t>
      </w:r>
      <w:r w:rsidR="007F5A32" w:rsidRPr="001B21F0">
        <w:rPr>
          <w:rFonts w:ascii="Book Antiqua" w:hAnsi="Book Antiqua" w:cs="Times New Roman"/>
          <w:lang w:val="en-US"/>
        </w:rPr>
        <w:t xml:space="preserve"> the sexual abuse was not hidden knowledge in the Hopkins household. Arletha knew of the sexual abuse and confronted her husband, but the abuse continued. </w:t>
      </w:r>
      <w:r w:rsidR="00647FAD" w:rsidRPr="001B21F0">
        <w:rPr>
          <w:rFonts w:ascii="Book Antiqua" w:hAnsi="Book Antiqua" w:cs="Times New Roman"/>
          <w:lang w:val="en-US"/>
        </w:rPr>
        <w:t xml:space="preserve">Despite the skepticism </w:t>
      </w:r>
      <w:r w:rsidR="005E32A1" w:rsidRPr="001B21F0">
        <w:rPr>
          <w:rFonts w:ascii="Book Antiqua" w:hAnsi="Book Antiqua" w:cs="Times New Roman"/>
          <w:lang w:val="en-US"/>
        </w:rPr>
        <w:t xml:space="preserve">that </w:t>
      </w:r>
      <w:proofErr w:type="spellStart"/>
      <w:r w:rsidR="00647FAD" w:rsidRPr="001B21F0">
        <w:rPr>
          <w:rFonts w:ascii="Book Antiqua" w:hAnsi="Book Antiqua" w:cs="Times New Roman"/>
          <w:lang w:val="en-US"/>
        </w:rPr>
        <w:t>Shantelle</w:t>
      </w:r>
      <w:proofErr w:type="spellEnd"/>
      <w:r w:rsidR="00647FAD" w:rsidRPr="001B21F0">
        <w:rPr>
          <w:rFonts w:ascii="Book Antiqua" w:hAnsi="Book Antiqua" w:cs="Times New Roman"/>
          <w:lang w:val="en-US"/>
        </w:rPr>
        <w:t xml:space="preserve"> encountered, </w:t>
      </w:r>
      <w:r w:rsidR="004C3E82" w:rsidRPr="001B21F0">
        <w:rPr>
          <w:rFonts w:ascii="Book Antiqua" w:hAnsi="Book Antiqua" w:cs="Times New Roman"/>
          <w:lang w:val="en-US"/>
        </w:rPr>
        <w:t>DNA evidence</w:t>
      </w:r>
      <w:r w:rsidR="007F5A32" w:rsidRPr="001B21F0">
        <w:rPr>
          <w:rFonts w:ascii="Book Antiqua" w:hAnsi="Book Antiqua" w:cs="Times New Roman"/>
          <w:lang w:val="en-US"/>
        </w:rPr>
        <w:t xml:space="preserve"> eventually</w:t>
      </w:r>
      <w:r w:rsidR="004C3E82" w:rsidRPr="001B21F0">
        <w:rPr>
          <w:rFonts w:ascii="Book Antiqua" w:hAnsi="Book Antiqua" w:cs="Times New Roman"/>
          <w:lang w:val="en-US"/>
        </w:rPr>
        <w:t xml:space="preserve"> </w:t>
      </w:r>
      <w:r w:rsidR="00647FAD" w:rsidRPr="001B21F0">
        <w:rPr>
          <w:rFonts w:ascii="Book Antiqua" w:hAnsi="Book Antiqua" w:cs="Times New Roman"/>
          <w:lang w:val="en-US"/>
        </w:rPr>
        <w:t xml:space="preserve">corroborated her disclosure </w:t>
      </w:r>
      <w:r w:rsidR="007F5A32" w:rsidRPr="001B21F0">
        <w:rPr>
          <w:rFonts w:ascii="Book Antiqua" w:hAnsi="Book Antiqua" w:cs="Times New Roman"/>
          <w:lang w:val="en-US"/>
        </w:rPr>
        <w:t xml:space="preserve">by confirming </w:t>
      </w:r>
      <w:r w:rsidR="004C3E82" w:rsidRPr="001B21F0">
        <w:rPr>
          <w:rFonts w:ascii="Book Antiqua" w:hAnsi="Book Antiqua" w:cs="Times New Roman"/>
          <w:lang w:val="en-US"/>
        </w:rPr>
        <w:t xml:space="preserve">that Anthony was the father of </w:t>
      </w:r>
      <w:r w:rsidR="00647FAD" w:rsidRPr="001B21F0">
        <w:rPr>
          <w:rFonts w:ascii="Book Antiqua" w:hAnsi="Book Antiqua" w:cs="Times New Roman"/>
          <w:lang w:val="en-US"/>
        </w:rPr>
        <w:t xml:space="preserve">her </w:t>
      </w:r>
      <w:r w:rsidR="004C3E82" w:rsidRPr="001B21F0">
        <w:rPr>
          <w:rFonts w:ascii="Book Antiqua" w:hAnsi="Book Antiqua" w:cs="Times New Roman"/>
          <w:lang w:val="en-US"/>
        </w:rPr>
        <w:t xml:space="preserve">unborn child. </w:t>
      </w:r>
      <w:r w:rsidR="001257C2" w:rsidRPr="001B21F0">
        <w:rPr>
          <w:rFonts w:ascii="Book Antiqua" w:hAnsi="Book Antiqua" w:cs="Times New Roman"/>
          <w:lang w:val="en-US"/>
        </w:rPr>
        <w:t xml:space="preserve">During </w:t>
      </w:r>
      <w:r w:rsidR="004C3E82" w:rsidRPr="001B21F0">
        <w:rPr>
          <w:rFonts w:ascii="Book Antiqua" w:hAnsi="Book Antiqua" w:cs="Times New Roman"/>
          <w:lang w:val="en-US"/>
        </w:rPr>
        <w:t xml:space="preserve">the police </w:t>
      </w:r>
      <w:r w:rsidR="00DD4119" w:rsidRPr="001B21F0">
        <w:rPr>
          <w:rFonts w:ascii="Book Antiqua" w:hAnsi="Book Antiqua" w:cs="Times New Roman"/>
          <w:lang w:val="en-US"/>
        </w:rPr>
        <w:t>i</w:t>
      </w:r>
      <w:r w:rsidR="004C3E82" w:rsidRPr="001B21F0">
        <w:rPr>
          <w:rFonts w:ascii="Book Antiqua" w:hAnsi="Book Antiqua" w:cs="Times New Roman"/>
          <w:lang w:val="en-US"/>
        </w:rPr>
        <w:t>nquiry</w:t>
      </w:r>
      <w:r w:rsidR="001257C2" w:rsidRPr="001B21F0">
        <w:rPr>
          <w:rFonts w:ascii="Book Antiqua" w:hAnsi="Book Antiqua" w:cs="Times New Roman"/>
          <w:lang w:val="en-US"/>
        </w:rPr>
        <w:t xml:space="preserve">, </w:t>
      </w:r>
      <w:r w:rsidRPr="001B21F0">
        <w:rPr>
          <w:rFonts w:ascii="Book Antiqua" w:hAnsi="Book Antiqua" w:cs="Times New Roman"/>
          <w:lang w:val="en-US"/>
        </w:rPr>
        <w:t xml:space="preserve">Tasha denied </w:t>
      </w:r>
      <w:r w:rsidR="004C3E82" w:rsidRPr="001B21F0">
        <w:rPr>
          <w:rFonts w:ascii="Book Antiqua" w:hAnsi="Book Antiqua" w:cs="Times New Roman"/>
          <w:lang w:val="en-US"/>
        </w:rPr>
        <w:t xml:space="preserve">being sexually abused </w:t>
      </w:r>
      <w:r w:rsidRPr="001B21F0">
        <w:rPr>
          <w:rFonts w:ascii="Book Antiqua" w:hAnsi="Book Antiqua" w:cs="Times New Roman"/>
          <w:lang w:val="en-US"/>
        </w:rPr>
        <w:t>by Anthony. However</w:t>
      </w:r>
      <w:r w:rsidR="004C3E82" w:rsidRPr="001B21F0">
        <w:rPr>
          <w:rFonts w:ascii="Book Antiqua" w:hAnsi="Book Antiqua" w:cs="Times New Roman"/>
          <w:lang w:val="en-US"/>
        </w:rPr>
        <w:t>,</w:t>
      </w:r>
      <w:r w:rsidRPr="001B21F0">
        <w:rPr>
          <w:rFonts w:ascii="Book Antiqua" w:hAnsi="Book Antiqua" w:cs="Times New Roman"/>
          <w:lang w:val="en-US"/>
        </w:rPr>
        <w:t xml:space="preserve"> Tasha’s </w:t>
      </w:r>
      <w:r w:rsidR="004C3E82" w:rsidRPr="001B21F0">
        <w:rPr>
          <w:rFonts w:ascii="Book Antiqua" w:hAnsi="Book Antiqua" w:cs="Times New Roman"/>
          <w:lang w:val="en-US"/>
        </w:rPr>
        <w:t>disclosure</w:t>
      </w:r>
      <w:r w:rsidR="001257C2" w:rsidRPr="001B21F0">
        <w:rPr>
          <w:rFonts w:ascii="Book Antiqua" w:hAnsi="Book Antiqua" w:cs="Times New Roman"/>
          <w:lang w:val="en-US"/>
        </w:rPr>
        <w:t xml:space="preserve"> </w:t>
      </w:r>
      <w:r w:rsidR="00300491" w:rsidRPr="001B21F0">
        <w:rPr>
          <w:rFonts w:ascii="Book Antiqua" w:hAnsi="Book Antiqua" w:cs="Times New Roman"/>
          <w:lang w:val="en-US"/>
        </w:rPr>
        <w:t>of</w:t>
      </w:r>
      <w:r w:rsidR="001257C2" w:rsidRPr="001B21F0">
        <w:rPr>
          <w:rFonts w:ascii="Book Antiqua" w:hAnsi="Book Antiqua" w:cs="Times New Roman"/>
          <w:lang w:val="en-US"/>
        </w:rPr>
        <w:t xml:space="preserve"> the sexual abuse in her </w:t>
      </w:r>
      <w:r w:rsidR="00D4095C" w:rsidRPr="001B21F0">
        <w:rPr>
          <w:rFonts w:ascii="Book Antiqua" w:hAnsi="Book Antiqua" w:cs="Times New Roman"/>
          <w:lang w:val="en-US"/>
        </w:rPr>
        <w:t xml:space="preserve">personal </w:t>
      </w:r>
      <w:r w:rsidRPr="001B21F0">
        <w:rPr>
          <w:rFonts w:ascii="Book Antiqua" w:hAnsi="Book Antiqua" w:cs="Times New Roman"/>
          <w:lang w:val="en-US"/>
        </w:rPr>
        <w:t xml:space="preserve">diary proved otherwise. </w:t>
      </w:r>
      <w:r w:rsidRPr="001B21F0">
        <w:rPr>
          <w:rStyle w:val="FootnoteReference"/>
          <w:rFonts w:ascii="Book Antiqua" w:hAnsi="Book Antiqua" w:cs="Times New Roman"/>
          <w:lang w:val="en-US"/>
        </w:rPr>
        <w:footnoteReference w:id="2"/>
      </w:r>
    </w:p>
    <w:p w14:paraId="3352F6BE" w14:textId="7087DE13" w:rsidR="00D4694C" w:rsidRPr="001B21F0" w:rsidRDefault="00D4694C" w:rsidP="00C41F6B">
      <w:pPr>
        <w:spacing w:after="0" w:line="240" w:lineRule="auto"/>
        <w:ind w:firstLine="284"/>
        <w:jc w:val="both"/>
        <w:rPr>
          <w:rFonts w:ascii="Book Antiqua" w:hAnsi="Book Antiqua" w:cs="Times New Roman"/>
          <w:lang w:val="en-US"/>
        </w:rPr>
      </w:pPr>
      <w:r w:rsidRPr="001B21F0">
        <w:rPr>
          <w:rFonts w:ascii="Book Antiqua" w:hAnsi="Book Antiqua" w:cs="Times New Roman"/>
          <w:lang w:val="en-US"/>
        </w:rPr>
        <w:t xml:space="preserve">As exemplified in the Hopkins case, sexual abuse victims oftentimes use disclosure-related coping strategies (e.g., non-disclosure, false denial) to refrain from speaking about their experiences. When </w:t>
      </w:r>
      <w:proofErr w:type="spellStart"/>
      <w:r w:rsidRPr="001B21F0">
        <w:rPr>
          <w:rFonts w:ascii="Book Antiqua" w:hAnsi="Book Antiqua" w:cs="Times New Roman"/>
          <w:lang w:val="en-US"/>
        </w:rPr>
        <w:t>Shantelle</w:t>
      </w:r>
      <w:proofErr w:type="spellEnd"/>
      <w:r w:rsidRPr="001B21F0">
        <w:rPr>
          <w:rFonts w:ascii="Book Antiqua" w:hAnsi="Book Antiqua" w:cs="Times New Roman"/>
          <w:lang w:val="en-US"/>
        </w:rPr>
        <w:t xml:space="preserve"> disclosed the abuse to her neighbor and particularly her resistant pastor, it would not have been su</w:t>
      </w:r>
      <w:r w:rsidR="00A87E13" w:rsidRPr="001B21F0">
        <w:rPr>
          <w:rFonts w:ascii="Book Antiqua" w:hAnsi="Book Antiqua" w:cs="Times New Roman"/>
          <w:lang w:val="en-US"/>
        </w:rPr>
        <w:t>r</w:t>
      </w:r>
      <w:r w:rsidRPr="001B21F0">
        <w:rPr>
          <w:rFonts w:ascii="Book Antiqua" w:hAnsi="Book Antiqua" w:cs="Times New Roman"/>
          <w:lang w:val="en-US"/>
        </w:rPr>
        <w:t>prising if she employed another less</w:t>
      </w:r>
      <w:r w:rsidR="00BD127C" w:rsidRPr="001B21F0">
        <w:rPr>
          <w:rFonts w:ascii="Book Antiqua" w:hAnsi="Book Antiqua" w:cs="Times New Roman"/>
          <w:lang w:val="en-US"/>
        </w:rPr>
        <w:t xml:space="preserve"> </w:t>
      </w:r>
      <w:r w:rsidRPr="001B21F0">
        <w:rPr>
          <w:rFonts w:ascii="Book Antiqua" w:hAnsi="Book Antiqua" w:cs="Times New Roman"/>
          <w:lang w:val="en-US"/>
        </w:rPr>
        <w:t>researched strategy</w:t>
      </w:r>
      <w:r w:rsidR="00695A59" w:rsidRPr="001B21F0">
        <w:rPr>
          <w:rFonts w:ascii="Book Antiqua" w:hAnsi="Book Antiqua" w:cs="Times New Roman"/>
          <w:lang w:val="en-US"/>
        </w:rPr>
        <w:t>:</w:t>
      </w:r>
      <w:r w:rsidRPr="001B21F0">
        <w:rPr>
          <w:rFonts w:ascii="Book Antiqua" w:hAnsi="Book Antiqua" w:cs="Times New Roman"/>
          <w:lang w:val="en-US"/>
        </w:rPr>
        <w:t xml:space="preserve"> recantation. Fortunately, definitive biological evidence was available in the Hopkins </w:t>
      </w:r>
      <w:r w:rsidR="00BD127C" w:rsidRPr="001B21F0">
        <w:rPr>
          <w:rFonts w:ascii="Book Antiqua" w:hAnsi="Book Antiqua" w:cs="Times New Roman"/>
          <w:lang w:val="en-US"/>
        </w:rPr>
        <w:t>case, which</w:t>
      </w:r>
      <w:r w:rsidRPr="001B21F0">
        <w:rPr>
          <w:rFonts w:ascii="Book Antiqua" w:hAnsi="Book Antiqua" w:cs="Times New Roman"/>
          <w:lang w:val="en-US"/>
        </w:rPr>
        <w:t xml:space="preserve"> is not always </w:t>
      </w:r>
      <w:r w:rsidR="00BD127C" w:rsidRPr="001B21F0">
        <w:rPr>
          <w:rFonts w:ascii="Book Antiqua" w:hAnsi="Book Antiqua" w:cs="Times New Roman"/>
          <w:lang w:val="en-US"/>
        </w:rPr>
        <w:t>obtainable in CSA cases</w:t>
      </w:r>
      <w:r w:rsidRPr="001B21F0">
        <w:rPr>
          <w:rFonts w:ascii="Book Antiqua" w:hAnsi="Book Antiqua" w:cs="Times New Roman"/>
          <w:lang w:val="en-US"/>
        </w:rPr>
        <w:t>. In many CSA cases</w:t>
      </w:r>
      <w:r w:rsidR="00695A59" w:rsidRPr="001B21F0">
        <w:rPr>
          <w:rFonts w:ascii="Book Antiqua" w:hAnsi="Book Antiqua" w:cs="Times New Roman"/>
          <w:lang w:val="en-US"/>
        </w:rPr>
        <w:t>,</w:t>
      </w:r>
      <w:r w:rsidRPr="001B21F0">
        <w:rPr>
          <w:rFonts w:ascii="Book Antiqua" w:hAnsi="Book Antiqua" w:cs="Times New Roman"/>
          <w:lang w:val="en-US"/>
        </w:rPr>
        <w:t xml:space="preserve"> no supporting physical evidence is available</w:t>
      </w:r>
      <w:r w:rsidR="00695A59" w:rsidRPr="001B21F0">
        <w:rPr>
          <w:rFonts w:ascii="Book Antiqua" w:hAnsi="Book Antiqua" w:cs="Times New Roman"/>
          <w:lang w:val="en-US"/>
        </w:rPr>
        <w:t>,</w:t>
      </w:r>
      <w:r w:rsidRPr="001B21F0">
        <w:rPr>
          <w:rFonts w:ascii="Book Antiqua" w:hAnsi="Book Antiqua" w:cs="Times New Roman"/>
          <w:lang w:val="en-US"/>
        </w:rPr>
        <w:t xml:space="preserve"> and the victims’ recollections and subsequent statements are the only grounds upon which legal decisions are made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"10.1016/S0145-2134(03)00037-1", "ISSN" : "01452134", "abstract" : "Objective: The present study investigated variables associated with delay of disclosure of child sexual abuse and tested a model of time to disclosure. Method: Data were obtained for 218 alleged child sexual abuse victims whose cases had been referred to District Attorneys\u2019 Offices. Five variables were posited to influence the delay between an abusive event and children\u2019s disclosure of that event to a reporting adult: child\u2019s age, gender, type of abuse experienced (intrafamilial or extrafamilial), perceived responsibility for the abuse, and fear of negative consequences of disclosure. These variables were used to create a model of factors influencing children\u2019s disclosure of sexual abuse. Results: Results indicated that age, type of abuse, fear of negative consequences, and perceived responsibility all contributed to predicting time to disclosure. There was significant support for the model, suggesting that children who were older, came from incestuous families, felt greater responsibility for the abuse, and feared negative consequences of disclosure took longer to disclose. Conclusions: Children\u2019s cognitive appraisal of others\u2019 tolerance of disclosure of child sexual abuse, and their own perceptions of responsibility for the abuse, are crucial to the decision to disclose. When evaluating children for possible sexual abuse, developmental, cognitive, and socio-emotional factors need to be taken into consideration.", "author" : [ { "dropping-particle" : "", "family" : "Goodman-Brown", "given" : "Tina B", "non-dropping-p</w:instrText>
      </w:r>
      <w:r w:rsidRPr="001B21F0">
        <w:rPr>
          <w:rFonts w:ascii="Book Antiqua" w:hAnsi="Book Antiqua" w:cs="Times New Roman"/>
        </w:rPr>
        <w:instrText>article" : "", "parse-names" : false, "suffix" : "" }, { "dropping-particle" : "", "family" : "Edelstein", "given" : "Robin S", "non-dropping-particle" : "", "parse-names" : false, "suffix" : "" }, { "dropping-particle" : "", "family" : "Goodman", "given" : "Gail S", "non-dropping-particle" : "", "parse-names" : false, "suffix" : "" }, { "dropping-particle" : "", "family" : "Jones", "given" : "David P.H", "non-dropping-particle" : "", "parse-names" : false, "suffix" : "" }, { "dropping-particle" : "", "family" : "Gordon", "given" : "David S", "non-dropping-particle" : "", "parse-names" : false, "suffix" : "" } ], "container-title" : "Child Abuse &amp; Neglect", "id" : "ITEM-1", "issue" : "5", "issued" : { "date-parts" : [ [ "2003", "5" ] ] }, "page" : "525-540", "title" : "Why children tell: a model of children\u2019s disclosure of sexual abuse", "type" : "article-journal", "volume" : "27" }, "uris" : [ "http://www.mendeley.com/documents/?uuid=b08af947-0756-4e67-a9fe-7b2cc8d774ca" ] } ], "mendeley" : { "formattedCitation" : "(Goodman-Brown, Edelstein, Goodman, Jones, &amp; Gordon, 2003)", "manualFormatting" : "(Goodman-Brown, Edelstein, Goodman, Jones, &amp; Gordon, 2003;", "plainTextFormattedCitation" : "(Goodman-Brown, Edelstein, Goodman, Jones, &amp; Gordon, 2003)", "previouslyFormattedCitation" : "(Goodman-Brown, Edelstein, Goodman, Jones, &amp; Gordon, 2003)"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rPr>
        <w:t>(Goodman-Brown, Edelstein, Goodman, Jones, &amp; Gordon, 2003;</w:t>
      </w:r>
      <w:r w:rsidRPr="001B21F0">
        <w:rPr>
          <w:rFonts w:ascii="Book Antiqua" w:hAnsi="Book Antiqua" w:cs="Times New Roman"/>
          <w:lang w:val="en-US"/>
        </w:rPr>
        <w:fldChar w:fldCharType="end"/>
      </w:r>
      <w:r w:rsidRPr="001B21F0">
        <w:rPr>
          <w:rFonts w:ascii="Book Antiqua" w:hAnsi="Book Antiqua" w:cs="Times New Roman"/>
          <w:lang w:val="en-US"/>
        </w:rPr>
        <w:fldChar w:fldCharType="begin" w:fldLock="1"/>
      </w:r>
      <w:r w:rsidRPr="001B21F0">
        <w:rPr>
          <w:rFonts w:ascii="Book Antiqua" w:hAnsi="Book Antiqua" w:cs="Times New Roman"/>
        </w:rPr>
        <w:instrText>ADDIN CSL_CITATION { "citationItems" : [ { "id" : "ITEM-1", "itemData" : { "DOI" : "10.1016/j.chiabu.2009.09.011", "ISSN" : "1873-7757", "PMID" : "20206999", "abstract" : "OBJECTIVE: The present study investigated 27 sexually abused children's reports about abuse given in the context of police interviews. All abuse cases had been verified (with, e.g., photographs or video films), proving that abuse had occurred.\n\nMETHOD: The interviews with the children were analyzed regarding amount and type of information reported, and the frequency of denial and avoidance. Furthermore, children's reporting on different interview occasions was investigated.\n\nRESULTS: Children reported significantly more neutral information from the abusive acts per se than sexual information. The children were also highly avoidant and, on several occasions, denied that (documented) sexual acts had occurred. Furthermore, the second and third interviews generated twice as many (new) sexual details as the first interview. The children also produced more denials and avoidances at the first interview compared to subsequent interviews.\n\nCONCLUSIONS: The present study indicates that sexually abused children may be highly resistant to reporting about the abuse in police interviews, and that two or three interviews may be needed to enable children to give complete and informative reports. It is of vital importance that professionals within the legal system be aware of this problem when conducting child interviews and when evaluating the reliability of child sexual abuse reports.", "author" : [ { "dropping-particle" : "", "family" : "Leander", "given" : "Lina", "non-dropping-particle" : "", "parse-names" : false, "suffix" : "" } ], "container-title" : "Child abuse &amp; neglect", "id" : "ITEM-1", "issue" : "3", "issued" : { "date-parts" : [ [ "2010", "3" ] ] }, "page" : "192-205", "title" : "Police interviews with child sexual abuse victims: patterns of reporting, avoidance and denial.", "type" : "article-journal", "volume" : "34" }, "uris" : [ "http://www.mendeley.com/documents/?uuid=f1033e57-8151-4206-8080-8f3f67bc9219" ] } ], "mendeley" : { "formattedCitation" : "(Leander, 2010)", "manualFormatting" : " London, Bruck, Ceci, &amp; Shuman, 2005; Leander, 2010)", "plainTextFormattedCitation" : "(Leander, 2010)", "previouslyFormattedCitation" : "(Leander, 2010)"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rPr>
        <w:t xml:space="preserve"> </w:t>
      </w:r>
      <w:r w:rsidR="00DD63CA" w:rsidRPr="001B21F0">
        <w:rPr>
          <w:rFonts w:ascii="Book Antiqua" w:hAnsi="Book Antiqua" w:cs="Times New Roman"/>
          <w:noProof/>
        </w:rPr>
        <w:t xml:space="preserve">Leander, 2010; </w:t>
      </w:r>
      <w:r w:rsidRPr="001B21F0">
        <w:rPr>
          <w:rFonts w:ascii="Book Antiqua" w:hAnsi="Book Antiqua" w:cs="Times New Roman"/>
          <w:noProof/>
        </w:rPr>
        <w:t>London, Bruck, Ceci, &amp; Shuman, 2005)</w:t>
      </w:r>
      <w:r w:rsidRPr="001B21F0">
        <w:rPr>
          <w:rFonts w:ascii="Book Antiqua" w:hAnsi="Book Antiqua" w:cs="Times New Roman"/>
          <w:lang w:val="en-US"/>
        </w:rPr>
        <w:fldChar w:fldCharType="end"/>
      </w:r>
      <w:r w:rsidRPr="001B21F0">
        <w:rPr>
          <w:rFonts w:ascii="Book Antiqua" w:hAnsi="Book Antiqua" w:cs="Times New Roman"/>
        </w:rPr>
        <w:t xml:space="preserve">. </w:t>
      </w:r>
      <w:r w:rsidRPr="001B21F0">
        <w:rPr>
          <w:rFonts w:ascii="Book Antiqua" w:hAnsi="Book Antiqua" w:cs="Times New Roman"/>
          <w:lang w:val="en-US"/>
        </w:rPr>
        <w:t>An obstruction to communication can be disastrous from an investigative standpoint when a victim’s safety and the construction of a solid case hinge on</w:t>
      </w:r>
      <w:r w:rsidR="00FC4FC5" w:rsidRPr="001B21F0">
        <w:rPr>
          <w:rFonts w:ascii="Book Antiqua" w:hAnsi="Book Antiqua" w:cs="Times New Roman"/>
          <w:lang w:val="en-US"/>
        </w:rPr>
        <w:t xml:space="preserve"> the quality of the collected evidence</w:t>
      </w:r>
      <w:r w:rsidRPr="001B21F0">
        <w:rPr>
          <w:rFonts w:ascii="Book Antiqua" w:hAnsi="Book Antiqua" w:cs="Times New Roman"/>
          <w:lang w:val="en-US"/>
        </w:rPr>
        <w:t xml:space="preserve">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"3" ] ] }, "page" : "271-295", "title" : "Factors influencing children to self-disclose sexual abuse", "type" : "article-journal", "volume" : "22" }, "uris" : [ "http://www.mendeley.com/documents/?uuid=586f1315-3d6e-4fe1-b132-a850df3f1677" ] } ], "mendeley" : { "formattedCitation" : "(Paine &amp; Hansen, 2002a)", "plainTextFormattedCitation" : "(Paine &amp; Hansen, 2002a)", "previouslyFormattedCitation" : "(Paine &amp; Hansen, 2002a)"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(Paine &amp; Hansen, 2002)</w:t>
      </w:r>
      <w:r w:rsidRPr="001B21F0">
        <w:rPr>
          <w:rFonts w:ascii="Book Antiqua" w:hAnsi="Book Antiqua" w:cs="Times New Roman"/>
          <w:lang w:val="en-US"/>
        </w:rPr>
        <w:fldChar w:fldCharType="end"/>
      </w:r>
      <w:r w:rsidRPr="001B21F0">
        <w:rPr>
          <w:rFonts w:ascii="Book Antiqua" w:hAnsi="Book Antiqua" w:cs="Times New Roman"/>
          <w:lang w:val="en-US"/>
        </w:rPr>
        <w:t xml:space="preserve">. </w:t>
      </w:r>
    </w:p>
    <w:p w14:paraId="10D093CB" w14:textId="0A9C7997" w:rsidR="00D4694C" w:rsidRPr="001B21F0" w:rsidRDefault="00D4694C" w:rsidP="00C41F6B">
      <w:pPr>
        <w:spacing w:after="0" w:line="240" w:lineRule="auto"/>
        <w:ind w:firstLine="284"/>
        <w:jc w:val="both"/>
        <w:rPr>
          <w:rFonts w:ascii="Book Antiqua" w:hAnsi="Book Antiqua" w:cs="Times New Roman"/>
          <w:lang w:val="en-US"/>
        </w:rPr>
      </w:pPr>
      <w:r w:rsidRPr="001B21F0">
        <w:rPr>
          <w:rFonts w:ascii="Book Antiqua" w:hAnsi="Book Antiqua" w:cs="Times New Roman"/>
          <w:lang w:val="en-US"/>
        </w:rPr>
        <w:t xml:space="preserve">In the psychological literature, efforts have been made to understand and describe the different disclosure-related strategies </w:t>
      </w:r>
      <w:r w:rsidR="00695A59" w:rsidRPr="001B21F0">
        <w:rPr>
          <w:rFonts w:ascii="Book Antiqua" w:hAnsi="Book Antiqua" w:cs="Times New Roman"/>
          <w:lang w:val="en-US"/>
        </w:rPr>
        <w:t xml:space="preserve">used by </w:t>
      </w:r>
      <w:r w:rsidRPr="001B21F0">
        <w:rPr>
          <w:rFonts w:ascii="Book Antiqua" w:hAnsi="Book Antiqua" w:cs="Times New Roman"/>
          <w:lang w:val="en-US"/>
        </w:rPr>
        <w:t xml:space="preserve">victims of sexual abuse to avoid speaking about the traumatic incident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"10.1016/j.avb.2009.06.009", "ISBN" : "1359-1789", "ISSN" : "13591789", "PMID" : "20161502", "abstract" : "Coping has been suggested as an important element in understanding the long-term functioning of individuals with a history of child sexual abuse (CSA). The present review synthesizes the literature on coping with CSA, first by examining theories of coping with trauma, and, second by examining how these theories have been applied to studies of coping in samples of CSA victims. Thirty-nine studies were reviewed, including eleven descriptive studies of the coping strategies employed by individuals with a history of CSA, eighteen correlational studies of the relationship between coping strategies and long-term functioning of CSA victims, and ten investigations in which coping was examined as a mediational factor in relation to long-term outcomes. These studies provide initial information regarding early sexual abuse and subsequent coping processes. However, this literature is limited by several theoretical and methodological issues, including a failure to specify the process of coping as it occurs, a disparity between theory and research, and limited applicability to clinical practice. Future directions of research are discussed and include the need to understand coping as a process, identification of coping in relation to adaptive outcomes, and considerations of more complex mediational and moderational processes in the study of coping with CSA. \u00a9 2009 Elsevier Ltd. All rights reserved.", "author" : [ { "dropping-particle" : "", "family" : "Walsh", "given" : "Kate", "non-dropping-particle" : "", "parse-names" : false, "suffix" : "" }, { "dropping-particle" : "", "family" : "Fortier", "given" : "Michelle A.", "non-dropping-particle" : "", "parse-names" : false, "suffix" : "" }, { "dropping-particle" : "", "family" : "DiLillo", "given" : "David", "non-dropping-particle" : "", "parse-names" : false, "suffix" : "" } ], "container-title" : "Aggression and Violent Behavior", "id" : "ITEM-1", "issue" : "1", "issued" : { "date-parts" : [ [ "2010" ] ] }, "page" : "1-13", "title" : "Adult coping with childhood sexual abuse: A theoretical and empirical review", "type" : "article", "volume" : "15" }, "uris" : [ "http://www.mendeley.com/documents/?uuid=02768e0e-48e7-4942-8d9e-9930bb670202" ] } ], "mendeley" : { "formattedCitation" : "(Walsh, Fortier, &amp; DiLillo, 2010)", "plainTextFormattedCitation" : "(Walsh, Fortier, &amp; DiLillo, 2010)", "previouslyFormattedCitation" : "(Walsh, Fortier, &amp; DiLillo, 2010)"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(Walsh, Fortier, &amp; DiLillo, 2010)</w:t>
      </w:r>
      <w:r w:rsidRPr="001B21F0">
        <w:rPr>
          <w:rFonts w:ascii="Book Antiqua" w:hAnsi="Book Antiqua" w:cs="Times New Roman"/>
          <w:lang w:val="en-US"/>
        </w:rPr>
        <w:fldChar w:fldCharType="end"/>
      </w:r>
      <w:r w:rsidRPr="001B21F0">
        <w:rPr>
          <w:rFonts w:ascii="Book Antiqua" w:hAnsi="Book Antiqua" w:cs="Times New Roman"/>
          <w:lang w:val="en-US"/>
        </w:rPr>
        <w:t xml:space="preserve">. A related issue that has received less attention is how these strategies may potentially </w:t>
      </w:r>
      <w:r w:rsidRPr="001B21F0">
        <w:rPr>
          <w:rFonts w:ascii="Book Antiqua" w:hAnsi="Book Antiqua" w:cs="Times New Roman"/>
          <w:lang w:val="en-US"/>
        </w:rPr>
        <w:t xml:space="preserve">affect victims’ memories of the abuse when they do decide to come forward about the experience. Both matters are addressed in the current paper. Our discussions for each coping strategy will be framed within the context of psychological, social, and developmental factors. </w:t>
      </w:r>
      <w:r w:rsidR="00695A59" w:rsidRPr="001B21F0">
        <w:rPr>
          <w:rFonts w:ascii="Book Antiqua" w:hAnsi="Book Antiqua" w:cs="Times New Roman"/>
          <w:lang w:val="en-US"/>
        </w:rPr>
        <w:t>In a</w:t>
      </w:r>
      <w:r w:rsidRPr="001B21F0">
        <w:rPr>
          <w:rFonts w:ascii="Book Antiqua" w:hAnsi="Book Antiqua" w:cs="Times New Roman"/>
          <w:lang w:val="en-US"/>
        </w:rPr>
        <w:t>ddition, we will describe research on how such strategies might impact memory and offer some directions for future inquiry.</w:t>
      </w:r>
    </w:p>
    <w:p w14:paraId="55CC6F34" w14:textId="77777777" w:rsidR="00760964" w:rsidRPr="001B21F0" w:rsidRDefault="00760964" w:rsidP="00760964">
      <w:pPr>
        <w:spacing w:after="0" w:line="240" w:lineRule="auto"/>
        <w:rPr>
          <w:rFonts w:ascii="Book Antiqua" w:hAnsi="Book Antiqua" w:cs="Times New Roman"/>
          <w:b/>
          <w:lang w:val="en-US"/>
        </w:rPr>
      </w:pPr>
    </w:p>
    <w:p w14:paraId="2CC29223" w14:textId="1CED4713" w:rsidR="00D4694C" w:rsidRPr="001B21F0" w:rsidRDefault="00D4694C" w:rsidP="00760964">
      <w:pPr>
        <w:spacing w:after="0" w:line="240" w:lineRule="auto"/>
        <w:rPr>
          <w:rFonts w:ascii="Book Antiqua" w:hAnsi="Book Antiqua" w:cs="Times New Roman"/>
          <w:b/>
          <w:lang w:val="en-US"/>
        </w:rPr>
      </w:pPr>
      <w:r w:rsidRPr="001B21F0">
        <w:rPr>
          <w:rFonts w:ascii="Book Antiqua" w:hAnsi="Book Antiqua" w:cs="Times New Roman"/>
          <w:b/>
          <w:lang w:val="en-US"/>
        </w:rPr>
        <w:t xml:space="preserve">False Denials </w:t>
      </w:r>
    </w:p>
    <w:p w14:paraId="219E4E44" w14:textId="77777777" w:rsidR="00760964" w:rsidRPr="001B21F0" w:rsidRDefault="00760964" w:rsidP="00760964">
      <w:pPr>
        <w:spacing w:after="0" w:line="240" w:lineRule="auto"/>
        <w:jc w:val="both"/>
        <w:rPr>
          <w:rFonts w:ascii="Book Antiqua" w:hAnsi="Book Antiqua" w:cs="Times New Roman"/>
          <w:lang w:val="en-US"/>
        </w:rPr>
      </w:pPr>
    </w:p>
    <w:p w14:paraId="3F6D15D1" w14:textId="472C9074" w:rsidR="00D4694C" w:rsidRPr="001B21F0" w:rsidRDefault="00D4694C" w:rsidP="00760964">
      <w:pPr>
        <w:spacing w:after="0" w:line="240" w:lineRule="auto"/>
        <w:jc w:val="both"/>
        <w:rPr>
          <w:rFonts w:ascii="Book Antiqua" w:hAnsi="Book Antiqua" w:cs="Times New Roman"/>
          <w:lang w:val="en-US"/>
        </w:rPr>
      </w:pPr>
      <w:r w:rsidRPr="001B21F0">
        <w:rPr>
          <w:rFonts w:ascii="Book Antiqua" w:hAnsi="Book Antiqua" w:cs="Times New Roman"/>
          <w:lang w:val="en-US"/>
        </w:rPr>
        <w:t xml:space="preserve">According to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 ] }, "page" : "271-295", "title" : "Factors influencing children to self-disclose sexual abuse", "type" : "article-journal", "volume" : "22" }, "uris" : [ "http://www.mendeley.com/documents/?uuid=dbb3a38c-ca97-3fe6-85af-1d970806ae00" ] } ], "mendeley" : { "formattedCitation" : "(Paine &amp; Hansen, 2002b)", "manualFormatting" : "Paine and Hansen (2002)", "plainTextFormattedCitation" : "(Paine &amp; Hansen, 2002b)", "previouslyFormattedCitation" : "(Paine &amp; Hansen, 2002b)"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Paine and Hansen (2002)</w:t>
      </w:r>
      <w:r w:rsidRPr="001B21F0">
        <w:rPr>
          <w:rFonts w:ascii="Book Antiqua" w:hAnsi="Book Antiqua" w:cs="Times New Roman"/>
          <w:lang w:val="en-US"/>
        </w:rPr>
        <w:fldChar w:fldCharType="end"/>
      </w:r>
      <w:r w:rsidR="00695A59" w:rsidRPr="001B21F0">
        <w:rPr>
          <w:rFonts w:ascii="Book Antiqua" w:hAnsi="Book Antiqua" w:cs="Times New Roman"/>
          <w:lang w:val="en-US"/>
        </w:rPr>
        <w:t>,</w:t>
      </w:r>
      <w:r w:rsidRPr="001B21F0">
        <w:rPr>
          <w:rFonts w:ascii="Book Antiqua" w:hAnsi="Book Antiqua" w:cs="Times New Roman"/>
          <w:lang w:val="en-US"/>
        </w:rPr>
        <w:t xml:space="preserve"> the denial </w:t>
      </w:r>
      <w:r w:rsidR="00FC4FC5" w:rsidRPr="001B21F0">
        <w:rPr>
          <w:rFonts w:ascii="Book Antiqua" w:hAnsi="Book Antiqua" w:cs="Times New Roman"/>
          <w:lang w:val="en-US"/>
        </w:rPr>
        <w:t>that</w:t>
      </w:r>
      <w:r w:rsidRPr="001B21F0">
        <w:rPr>
          <w:rFonts w:ascii="Book Antiqua" w:hAnsi="Book Antiqua" w:cs="Times New Roman"/>
          <w:lang w:val="en-US"/>
        </w:rPr>
        <w:t xml:space="preserve"> is inherent in the inability or unwillingness of some </w:t>
      </w:r>
      <w:r w:rsidR="00B4098B" w:rsidRPr="001B21F0">
        <w:rPr>
          <w:rFonts w:ascii="Book Antiqua" w:hAnsi="Book Antiqua" w:cs="Times New Roman"/>
          <w:lang w:val="en-US"/>
        </w:rPr>
        <w:t xml:space="preserve">victims of </w:t>
      </w:r>
      <w:r w:rsidRPr="001B21F0">
        <w:rPr>
          <w:rFonts w:ascii="Book Antiqua" w:hAnsi="Book Antiqua" w:cs="Times New Roman"/>
          <w:lang w:val="en-US"/>
        </w:rPr>
        <w:t>CSA</w:t>
      </w:r>
      <w:r w:rsidR="00B4098B" w:rsidRPr="001B21F0">
        <w:rPr>
          <w:rFonts w:ascii="Book Antiqua" w:hAnsi="Book Antiqua" w:cs="Times New Roman"/>
          <w:lang w:val="en-US"/>
        </w:rPr>
        <w:t xml:space="preserve"> </w:t>
      </w:r>
      <w:r w:rsidRPr="001B21F0">
        <w:rPr>
          <w:rFonts w:ascii="Book Antiqua" w:hAnsi="Book Antiqua" w:cs="Times New Roman"/>
          <w:lang w:val="en-US"/>
        </w:rPr>
        <w:t>to disclose may be due to feelings of guilt from perceiving his/her self as a co</w:t>
      </w:r>
      <w:r w:rsidR="00300491" w:rsidRPr="001B21F0">
        <w:rPr>
          <w:rFonts w:ascii="Book Antiqua" w:hAnsi="Book Antiqua" w:cs="Times New Roman"/>
          <w:lang w:val="en-US"/>
        </w:rPr>
        <w:t>-</w:t>
      </w:r>
      <w:r w:rsidRPr="001B21F0">
        <w:rPr>
          <w:rFonts w:ascii="Book Antiqua" w:hAnsi="Book Antiqua" w:cs="Times New Roman"/>
          <w:lang w:val="en-US"/>
        </w:rPr>
        <w:t>conspirator to the abuse; in a sense</w:t>
      </w:r>
      <w:r w:rsidR="00695A59" w:rsidRPr="001B21F0">
        <w:rPr>
          <w:rFonts w:ascii="Book Antiqua" w:hAnsi="Book Antiqua" w:cs="Times New Roman"/>
          <w:lang w:val="en-US"/>
        </w:rPr>
        <w:t>,</w:t>
      </w:r>
      <w:r w:rsidRPr="001B21F0">
        <w:rPr>
          <w:rFonts w:ascii="Book Antiqua" w:hAnsi="Book Antiqua" w:cs="Times New Roman"/>
          <w:lang w:val="en-US"/>
        </w:rPr>
        <w:t xml:space="preserve"> it can be conceptualized as an </w:t>
      </w:r>
      <w:r w:rsidRPr="001B21F0">
        <w:rPr>
          <w:rFonts w:ascii="Book Antiqua" w:hAnsi="Book Antiqua" w:cs="Times New Roman"/>
          <w:i/>
          <w:lang w:val="en-US"/>
        </w:rPr>
        <w:t>internally</w:t>
      </w:r>
      <w:r w:rsidRPr="001B21F0">
        <w:rPr>
          <w:rFonts w:ascii="Book Antiqua" w:hAnsi="Book Antiqua" w:cs="Times New Roman"/>
          <w:lang w:val="en-US"/>
        </w:rPr>
        <w:t xml:space="preserve"> driven denial. In response to questioning (e.g., by the police or in a clinical setting)</w:t>
      </w:r>
      <w:r w:rsidR="00695A59" w:rsidRPr="001B21F0">
        <w:rPr>
          <w:rFonts w:ascii="Book Antiqua" w:hAnsi="Book Antiqua" w:cs="Times New Roman"/>
          <w:lang w:val="en-US"/>
        </w:rPr>
        <w:t>,</w:t>
      </w:r>
      <w:r w:rsidRPr="001B21F0">
        <w:rPr>
          <w:rFonts w:ascii="Book Antiqua" w:hAnsi="Book Antiqua" w:cs="Times New Roman"/>
          <w:lang w:val="en-US"/>
        </w:rPr>
        <w:t xml:space="preserve"> some</w:t>
      </w:r>
      <w:r w:rsidR="00B4098B" w:rsidRPr="001B21F0">
        <w:rPr>
          <w:rFonts w:ascii="Book Antiqua" w:hAnsi="Book Antiqua" w:cs="Times New Roman"/>
          <w:lang w:val="en-US"/>
        </w:rPr>
        <w:t xml:space="preserve"> victims of</w:t>
      </w:r>
      <w:r w:rsidRPr="001B21F0">
        <w:rPr>
          <w:rFonts w:ascii="Book Antiqua" w:hAnsi="Book Antiqua" w:cs="Times New Roman"/>
          <w:lang w:val="en-US"/>
        </w:rPr>
        <w:t xml:space="preserve"> CSA</w:t>
      </w:r>
      <w:r w:rsidR="00B4098B" w:rsidRPr="001B21F0">
        <w:rPr>
          <w:rFonts w:ascii="Book Antiqua" w:hAnsi="Book Antiqua" w:cs="Times New Roman"/>
          <w:lang w:val="en-US"/>
        </w:rPr>
        <w:t xml:space="preserve"> </w:t>
      </w:r>
      <w:r w:rsidRPr="001B21F0">
        <w:rPr>
          <w:rFonts w:ascii="Book Antiqua" w:hAnsi="Book Antiqua" w:cs="Times New Roman"/>
          <w:lang w:val="en-US"/>
        </w:rPr>
        <w:t xml:space="preserve">may lie and falsely deny in whole or in part that the abuse occurred. The explicit statement by way of falsely denying an experience (e.g., “I was not abused”) in response to probing can be seen as an externally driven deceptive strategy to withhold the truth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Howe, Smeets, &amp; Wang, 2016)", "plainTextFormattedCitation" : "(Otgaar, Howe, Smeets, &amp; Wang, 2016)", "previouslyFormattedCitation" : "(Otgaar, Howe, Smeets, &amp; Wang, 2016)"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(Otgaar, Howe, Smeets, &amp; Wang, 2016)</w:t>
      </w:r>
      <w:r w:rsidRPr="001B21F0">
        <w:rPr>
          <w:rFonts w:ascii="Book Antiqua" w:hAnsi="Book Antiqua" w:cs="Times New Roman"/>
          <w:lang w:val="en-US"/>
        </w:rPr>
        <w:fldChar w:fldCharType="end"/>
      </w:r>
      <w:r w:rsidRPr="001B21F0">
        <w:rPr>
          <w:rFonts w:ascii="Book Antiqua" w:hAnsi="Book Antiqua" w:cs="Times New Roman"/>
          <w:lang w:val="en-US"/>
        </w:rPr>
        <w:t>. Perpetrators also frequently use manipulative and intimidating tactics</w:t>
      </w:r>
      <w:r w:rsidR="00695A59" w:rsidRPr="001B21F0">
        <w:rPr>
          <w:rFonts w:ascii="Book Antiqua" w:hAnsi="Book Antiqua" w:cs="Times New Roman"/>
          <w:lang w:val="en-US"/>
        </w:rPr>
        <w:t>,</w:t>
      </w:r>
      <w:r w:rsidRPr="001B21F0">
        <w:rPr>
          <w:rFonts w:ascii="Book Antiqua" w:hAnsi="Book Antiqua" w:cs="Times New Roman"/>
          <w:lang w:val="en-US"/>
        </w:rPr>
        <w:t xml:space="preserve"> such as grooming/coaching, bribes, and threats</w:t>
      </w:r>
      <w:r w:rsidR="00695A59" w:rsidRPr="001B21F0">
        <w:rPr>
          <w:rFonts w:ascii="Book Antiqua" w:hAnsi="Book Antiqua" w:cs="Times New Roman"/>
          <w:lang w:val="en-US"/>
        </w:rPr>
        <w:t>,</w:t>
      </w:r>
      <w:r w:rsidRPr="001B21F0">
        <w:rPr>
          <w:rFonts w:ascii="Book Antiqua" w:hAnsi="Book Antiqua" w:cs="Times New Roman"/>
          <w:lang w:val="en-US"/>
        </w:rPr>
        <w:t xml:space="preserve"> which can cause victims to engage in </w:t>
      </w:r>
      <w:r w:rsidRPr="001B21F0">
        <w:rPr>
          <w:rFonts w:ascii="Book Antiqua" w:hAnsi="Book Antiqua" w:cs="Times New Roman"/>
          <w:i/>
          <w:lang w:val="en-US"/>
        </w:rPr>
        <w:t>externally</w:t>
      </w:r>
      <w:r w:rsidRPr="001B21F0">
        <w:rPr>
          <w:rFonts w:ascii="Book Antiqua" w:hAnsi="Book Antiqua" w:cs="Times New Roman"/>
          <w:lang w:val="en-US"/>
        </w:rPr>
        <w:t xml:space="preserve"> driven denial (Paine &amp; Hansen, 2002). While denial may serve a protective purpose for both a sexual abuse victim or perpetrator in the short</w:t>
      </w:r>
      <w:r w:rsidR="00695A59" w:rsidRPr="001B21F0">
        <w:rPr>
          <w:rFonts w:ascii="Book Antiqua" w:hAnsi="Book Antiqua" w:cs="Times New Roman"/>
          <w:lang w:val="en-US"/>
        </w:rPr>
        <w:t xml:space="preserve"> </w:t>
      </w:r>
      <w:r w:rsidRPr="001B21F0">
        <w:rPr>
          <w:rFonts w:ascii="Book Antiqua" w:hAnsi="Book Antiqua" w:cs="Times New Roman"/>
          <w:lang w:val="en-US"/>
        </w:rPr>
        <w:t xml:space="preserve">term, it is predominantly perceived as an obstructive tactic to prevent problems from being addressed directly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"10.1111/j.1368-5031.2006.0884a.x", "PMID" : "16494636", "author" : [ { "dropping-particle" : "", "family" : "Jackson", "given" : "Graham", "non-dropping-particle" : "", "parse-names" : false, "suffix" : "" } ], "container-title" : "International Journal of Clinical Practice", "id" : "ITEM-1", "issue" : "3", "issued" : { "date-parts" : [ [ "2006" ] ] }, "page" : "253-255", "title" : "Denial", "type" : "article-journal", "volume" : "60" }, "uris" : [ "http://www.mendeley.com/documents/?uuid=4ceb956c-901f-4078-9660-84b25265d1c6" ] } ], "mendeley" : { "formattedCitation" : "(Jackson, 2006)", "plainTextFormattedCitation" : "(Jackson, 2006)", "previouslyFormattedCitation" : "(Jackson, 2006)"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(Jackson, 2006)</w:t>
      </w:r>
      <w:r w:rsidRPr="001B21F0">
        <w:rPr>
          <w:rFonts w:ascii="Book Antiqua" w:hAnsi="Book Antiqua" w:cs="Times New Roman"/>
          <w:lang w:val="en-US"/>
        </w:rPr>
        <w:fldChar w:fldCharType="end"/>
      </w:r>
      <w:r w:rsidRPr="001B21F0">
        <w:rPr>
          <w:rFonts w:ascii="Book Antiqua" w:hAnsi="Book Antiqua" w:cs="Times New Roman"/>
          <w:lang w:val="en-US"/>
        </w:rPr>
        <w:t xml:space="preserve">. </w:t>
      </w:r>
    </w:p>
    <w:p w14:paraId="56EAC93E" w14:textId="63780E7E" w:rsidR="00D4694C" w:rsidRPr="001B21F0" w:rsidRDefault="00D4694C" w:rsidP="00C41F6B">
      <w:pPr>
        <w:spacing w:after="0" w:line="240" w:lineRule="auto"/>
        <w:ind w:firstLine="284"/>
        <w:jc w:val="both"/>
        <w:rPr>
          <w:rFonts w:ascii="Book Antiqua" w:hAnsi="Book Antiqua" w:cs="Times New Roman"/>
          <w:lang w:val="en-US"/>
        </w:rPr>
      </w:pPr>
      <w:r w:rsidRPr="001B21F0">
        <w:rPr>
          <w:rFonts w:ascii="Book Antiqua" w:hAnsi="Book Antiqua" w:cs="Times New Roman"/>
          <w:lang w:val="en-US"/>
        </w:rPr>
        <w:t>The issue of denial has been discussed in diverse strands of science and is often mentioned as a coping strategy in discussions about trauma among victims of sexual abuse. The literature has benefited from some important</w:t>
      </w:r>
      <w:r w:rsidR="00300491" w:rsidRPr="001B21F0">
        <w:rPr>
          <w:rFonts w:ascii="Book Antiqua" w:hAnsi="Book Antiqua" w:cs="Times New Roman"/>
          <w:lang w:val="en-US"/>
        </w:rPr>
        <w:t>,</w:t>
      </w:r>
      <w:r w:rsidRPr="001B21F0">
        <w:rPr>
          <w:rFonts w:ascii="Book Antiqua" w:hAnsi="Book Antiqua" w:cs="Times New Roman"/>
          <w:lang w:val="en-US"/>
        </w:rPr>
        <w:t xml:space="preserve"> </w:t>
      </w:r>
      <w:r w:rsidR="00300491" w:rsidRPr="001B21F0">
        <w:rPr>
          <w:rFonts w:ascii="Book Antiqua" w:hAnsi="Book Antiqua" w:cs="Times New Roman"/>
          <w:lang w:val="en-US"/>
        </w:rPr>
        <w:t xml:space="preserve">albeit limited, </w:t>
      </w:r>
      <w:r w:rsidRPr="001B21F0">
        <w:rPr>
          <w:rFonts w:ascii="Book Antiqua" w:hAnsi="Book Antiqua" w:cs="Times New Roman"/>
          <w:lang w:val="en-US"/>
        </w:rPr>
        <w:t xml:space="preserve">discoveries on the denial patterns of </w:t>
      </w:r>
      <w:r w:rsidR="00B4098B" w:rsidRPr="001B21F0">
        <w:rPr>
          <w:rFonts w:ascii="Book Antiqua" w:hAnsi="Book Antiqua" w:cs="Times New Roman"/>
          <w:lang w:val="en-US"/>
        </w:rPr>
        <w:t xml:space="preserve">victims of </w:t>
      </w:r>
      <w:r w:rsidRPr="001B21F0">
        <w:rPr>
          <w:rFonts w:ascii="Book Antiqua" w:hAnsi="Book Antiqua" w:cs="Times New Roman"/>
          <w:lang w:val="en-US"/>
        </w:rPr>
        <w:t xml:space="preserve">CSA.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"10.1016/j.chiabu.2009.09.011", "ISSN" : "1873-7757", "PMID" : "20206999", "abstract" : "OBJECTIVE: The present study investigated 27 sexually abused children's reports about abuse given in the context of police interviews. All abuse cases had been verified (with, e.g., photographs or video films), proving that abuse had occurred.\n\nMETHOD: The interviews with the children were analyzed regarding amount and type of information reported, and the frequency of denial and avoidance. Furthermore, children's reporting on different interview occasions was investigated.\n\nRESULTS: Children reported significantly more neutral information from the abusive acts per se than sexual information. The children were also highly avoidant and, on several occasions, denied that (documented) sexual acts had occurred. Furthermore, the second and third interviews generated twice as many (new) sexual details as the first interview. The children also produced more denials and avoidances at the first interview compared to subsequent interviews.\n\nCONCLUSIONS: The present study indicates that sexually abused children may be highly resistant to reporting about the abuse in police interviews, and that two or three interviews may be needed to enable children to give complete and informative reports. It is of vital importance that professionals within the legal system be aware of this problem when conducting child interviews and when evaluating the reliability of child sexual abuse reports.", "author" : [ { "dropping-particle" : "", "family" : "Leander", "given" : "Lina", "non-dropping-particle" : "", "parse-names" : false, "suffix" : "" } ], "container-title" : "Child abuse &amp; neglect", "id" : "ITEM-1", "issue" : "3", "issued" : { "date-parts" : [ [ "2010", "3" ] ] }, "page" : "192-205", "title" : "Police interviews with child sexual abuse victims: patterns of reporting, avoidance and denial.", "type" : "article-journal", "volume" : "34" }, "uris" : [ "http://www.mendeley.com/documents/?uuid=f1033e57-8151-4206-8080-8f3f67bc9219" ] } ], "mendeley" : { "formattedCitation" : "(Leander, 2010)", "manualFormatting" : "Leander (2010)", "plainTextFormattedCitation" : "(Leander, 2010)", "previouslyFormattedCitation" : "(Leander, 2010)"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Leander (2010)</w:t>
      </w:r>
      <w:r w:rsidRPr="001B21F0">
        <w:rPr>
          <w:rFonts w:ascii="Book Antiqua" w:hAnsi="Book Antiqua" w:cs="Times New Roman"/>
          <w:lang w:val="en-US"/>
        </w:rPr>
        <w:fldChar w:fldCharType="end"/>
      </w:r>
      <w:r w:rsidRPr="001B21F0">
        <w:rPr>
          <w:rFonts w:ascii="Book Antiqua" w:hAnsi="Book Antiqua" w:cs="Times New Roman"/>
          <w:lang w:val="en-US"/>
        </w:rPr>
        <w:t xml:space="preserve"> found that in a sample of 27 children with histories of proven abuse (e.g., film and or photograph</w:t>
      </w:r>
      <w:r w:rsidR="00300491" w:rsidRPr="001B21F0">
        <w:rPr>
          <w:rFonts w:ascii="Book Antiqua" w:hAnsi="Book Antiqua" w:cs="Times New Roman"/>
          <w:lang w:val="en-US"/>
        </w:rPr>
        <w:t>ic</w:t>
      </w:r>
      <w:r w:rsidRPr="001B21F0">
        <w:rPr>
          <w:rFonts w:ascii="Book Antiqua" w:hAnsi="Book Antiqua" w:cs="Times New Roman"/>
          <w:lang w:val="en-US"/>
        </w:rPr>
        <w:t xml:space="preserve"> evidence), the children collectively (falsely) denied any sexual abuse on 95 occasions during</w:t>
      </w:r>
      <w:bookmarkStart w:id="0" w:name="_GoBack"/>
      <w:bookmarkEnd w:id="0"/>
      <w:r w:rsidRPr="001B21F0">
        <w:rPr>
          <w:rFonts w:ascii="Book Antiqua" w:hAnsi="Book Antiqua" w:cs="Times New Roman"/>
          <w:lang w:val="en-US"/>
        </w:rPr>
        <w:t xml:space="preserve"> the first police interview.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"ISBN" : "0009-4021", "ISSN" : "00094021", "PMID" : "1997290", "abstract" : "In an analysis of the disclosure by a large number of children from three to 17 years of age of having been sexually abused, and who were eventually confirmed as credible victims, the large majority at first denied the abuse. The authors describe disclosure as a process with definable phases and characteristics--seldom the single entity that typical investigations consider disclosure to be, thereby setting the stage for ensuring injustices and harm to the children.", "author" : [ { "dropping-particle" : "", "family" : "Sorensen", "given" : "T.", "non-dropping-particle" : "", "parse-names" : false, "suffix" : "" }, { "dropping-particle" : "", "family" : "Snow", "given" : "B.", "non-dropping-particle" : "", "parse-names" : false, "suffix" : "" } ], "container-title" : "Child welfare", "id" : "ITEM-1", "issue" : "1", "issued" : { "date-parts" : [ [ "1991" ] ] }, "page" : "3-15", "title" : "How children tell: the process of disclosure in child sexual abuse.", "type" : "article-journal", "volume" : "70" }, "uris" : [ "http://www.mendeley.com/documents/?uuid=53a9bf5c-d2d7-4e93-9c3f-91e4aa448090" ] } ], "mendeley" : { "formattedCitation" : "(Sorensen &amp; Snow, 1991)", "manualFormatting" : "Sorensen and Snow (1991)", "plainTextFormattedCitation" : "(Sorensen &amp; Snow, 1991)", "previouslyFormattedCitation" : "(Sorensen &amp; Snow, 1991)"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Sorensen and Snow (1991)</w:t>
      </w:r>
      <w:r w:rsidRPr="001B21F0">
        <w:rPr>
          <w:rFonts w:ascii="Book Antiqua" w:hAnsi="Book Antiqua" w:cs="Times New Roman"/>
          <w:lang w:val="en-US"/>
        </w:rPr>
        <w:fldChar w:fldCharType="end"/>
      </w:r>
      <w:r w:rsidRPr="001B21F0">
        <w:rPr>
          <w:rFonts w:ascii="Book Antiqua" w:hAnsi="Book Antiqua" w:cs="Times New Roman"/>
          <w:lang w:val="en-US"/>
        </w:rPr>
        <w:t xml:space="preserve"> retrospectively examined disclosure patterns in cases of confirmed CSA and found that a large majority of</w:t>
      </w:r>
      <w:r w:rsidR="00B4098B" w:rsidRPr="001B21F0">
        <w:rPr>
          <w:rFonts w:ascii="Book Antiqua" w:hAnsi="Book Antiqua" w:cs="Times New Roman"/>
          <w:lang w:val="en-US"/>
        </w:rPr>
        <w:t xml:space="preserve"> victims of</w:t>
      </w:r>
      <w:r w:rsidRPr="001B21F0">
        <w:rPr>
          <w:rFonts w:ascii="Book Antiqua" w:hAnsi="Book Antiqua" w:cs="Times New Roman"/>
          <w:lang w:val="en-US"/>
        </w:rPr>
        <w:t xml:space="preserve"> CSA</w:t>
      </w:r>
      <w:r w:rsidR="00B4098B" w:rsidRPr="001B21F0">
        <w:rPr>
          <w:rFonts w:ascii="Book Antiqua" w:hAnsi="Book Antiqua" w:cs="Times New Roman"/>
          <w:lang w:val="en-US"/>
        </w:rPr>
        <w:t xml:space="preserve"> </w:t>
      </w:r>
      <w:r w:rsidRPr="001B21F0">
        <w:rPr>
          <w:rFonts w:ascii="Book Antiqua" w:hAnsi="Book Antiqua" w:cs="Times New Roman"/>
          <w:lang w:val="en-US"/>
        </w:rPr>
        <w:t>who eventually disclosed</w:t>
      </w:r>
      <w:r w:rsidR="00B4098B" w:rsidRPr="001B21F0">
        <w:rPr>
          <w:rFonts w:ascii="Book Antiqua" w:hAnsi="Book Antiqua" w:cs="Times New Roman"/>
          <w:lang w:val="en-US"/>
        </w:rPr>
        <w:t xml:space="preserve"> their abuse</w:t>
      </w:r>
      <w:r w:rsidRPr="001B21F0">
        <w:rPr>
          <w:rFonts w:ascii="Book Antiqua" w:hAnsi="Book Antiqua" w:cs="Times New Roman"/>
          <w:lang w:val="en-US"/>
        </w:rPr>
        <w:t xml:space="preserve"> had initially denied that the event had </w:t>
      </w:r>
      <w:r w:rsidRPr="001B21F0">
        <w:rPr>
          <w:rFonts w:ascii="Book Antiqua" w:hAnsi="Book Antiqua" w:cs="Times New Roman"/>
          <w:lang w:val="en-US"/>
        </w:rPr>
        <w:lastRenderedPageBreak/>
        <w:t>occurred. The study also showed that questioning by a parent/authority figure, being identified as potential victims</w:t>
      </w:r>
      <w:r w:rsidR="00695A59" w:rsidRPr="001B21F0">
        <w:rPr>
          <w:rFonts w:ascii="Book Antiqua" w:hAnsi="Book Antiqua" w:cs="Times New Roman"/>
          <w:lang w:val="en-US"/>
        </w:rPr>
        <w:t>,</w:t>
      </w:r>
      <w:r w:rsidRPr="001B21F0">
        <w:rPr>
          <w:rFonts w:ascii="Book Antiqua" w:hAnsi="Book Antiqua" w:cs="Times New Roman"/>
          <w:lang w:val="en-US"/>
        </w:rPr>
        <w:t xml:space="preserve"> and being questioned in a formal interview setting were the most common predictors of denials. </w:t>
      </w:r>
    </w:p>
    <w:p w14:paraId="083732F5" w14:textId="6669140F" w:rsidR="00D4694C" w:rsidRPr="001B21F0" w:rsidRDefault="00D4694C" w:rsidP="00C41F6B">
      <w:pPr>
        <w:spacing w:after="0" w:line="240" w:lineRule="auto"/>
        <w:ind w:firstLine="284"/>
        <w:jc w:val="both"/>
        <w:rPr>
          <w:rFonts w:ascii="Book Antiqua" w:hAnsi="Book Antiqua" w:cs="Times New Roman"/>
          <w:lang w:val="en-US"/>
        </w:rPr>
      </w:pPr>
      <w:r w:rsidRPr="001B21F0">
        <w:rPr>
          <w:rFonts w:ascii="Book Antiqua" w:hAnsi="Book Antiqua" w:cs="Times New Roman"/>
          <w:lang w:val="en-US"/>
        </w:rPr>
        <w:t xml:space="preserve">Still, </w:t>
      </w:r>
      <w:r w:rsidR="00695A59" w:rsidRPr="001B21F0">
        <w:rPr>
          <w:rFonts w:ascii="Book Antiqua" w:hAnsi="Book Antiqua" w:cs="Times New Roman"/>
          <w:lang w:val="en-US"/>
        </w:rPr>
        <w:t>al</w:t>
      </w:r>
      <w:r w:rsidRPr="001B21F0">
        <w:rPr>
          <w:rFonts w:ascii="Book Antiqua" w:hAnsi="Book Antiqua" w:cs="Times New Roman"/>
          <w:lang w:val="en-US"/>
        </w:rPr>
        <w:t xml:space="preserve">though the concept of false denials has been known by psychological professionals for some time, much about it remains unclear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"10.1080/09515079808254039", "ISSN" : "0951-5070", "abstract" : "Abstract An information processing analysis is presented of the concept of denial. Different stages are identified where denial may be enacted. A consideration of the locus of denial can prevent misclassification and have therapeutic implications Abstract An information processing analysis is presented of the concept of denial. Different stages are identified where denial may be enacted. A consideration of the locus of denial can prevent misclassification and have therapeutic implications", "author" : [ { "dropping-particle" : "", "family" : "Manousos", "given" : "I. R.", "non-dropping-particle" : "", "parse-names" : false, "suffix" : "" }, { "dropping-particle" : "", "family" : "Williams", "given" : "D. I.", "non-dropping-particle" : "", "parse-names" : false, "suffix" : "" } ], "container-title" : "Counselling Psychology Quarterly", "id" : "ITEM-1", "issue" : "1", "issued" : { "date-parts" : [ [ "1998" ] ] }, "page" : "15-22", "title" : "The locus of denial", "type" : "article-journal", "volume" : "11" }, "uris" : [ "http://www.mendeley.com/documents/?uuid=42277ef9-bf21-4b13-8452-299145852775" ] } ], "mendeley" : { "formattedCitation" : "(Manousos &amp; Williams, 1998)", "manualFormatting" : "(Manousos &amp; Williams, 1998;", "plainTextFormattedCitation" : "(Manousos &amp; Williams, 1998)", "previouslyFormattedCitation" : "(Manousos &amp; Williams, 1998)"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(Manousos &amp; Williams, 1998;</w:t>
      </w:r>
      <w:r w:rsidRPr="001B21F0">
        <w:rPr>
          <w:rFonts w:ascii="Book Antiqua" w:hAnsi="Book Antiqua" w:cs="Times New Roman"/>
          <w:lang w:val="en-US"/>
        </w:rPr>
        <w:fldChar w:fldCharType="end"/>
      </w:r>
      <w:r w:rsidRPr="001B21F0">
        <w:rPr>
          <w:rFonts w:ascii="Book Antiqua" w:hAnsi="Book Antiqua" w:cs="Times New Roman"/>
          <w:lang w:val="en-US"/>
        </w:rPr>
        <w:t xml:space="preserve">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et al., 2016)", "plainTextFormattedCitation" : "(Otgaar et al., 2016)", "previouslyFormattedCitation" : "(Otgaar et al., 2016)"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Otgaar et al., 2016)</w:t>
      </w:r>
      <w:r w:rsidRPr="001B21F0">
        <w:rPr>
          <w:rFonts w:ascii="Book Antiqua" w:hAnsi="Book Antiqua" w:cs="Times New Roman"/>
          <w:lang w:val="en-US"/>
        </w:rPr>
        <w:fldChar w:fldCharType="end"/>
      </w:r>
      <w:r w:rsidRPr="001B21F0">
        <w:rPr>
          <w:rFonts w:ascii="Book Antiqua" w:hAnsi="Book Antiqua" w:cs="Times New Roman"/>
          <w:lang w:val="en-US"/>
        </w:rPr>
        <w:t xml:space="preserve">. The focused studies </w:t>
      </w:r>
      <w:r w:rsidR="00C22AEB" w:rsidRPr="001B21F0">
        <w:rPr>
          <w:rFonts w:ascii="Book Antiqua" w:hAnsi="Book Antiqua" w:cs="Times New Roman"/>
          <w:lang w:val="en-US"/>
        </w:rPr>
        <w:t>that address</w:t>
      </w:r>
      <w:r w:rsidRPr="001B21F0">
        <w:rPr>
          <w:rFonts w:ascii="Book Antiqua" w:hAnsi="Book Antiqua" w:cs="Times New Roman"/>
          <w:lang w:val="en-US"/>
        </w:rPr>
        <w:t xml:space="preserve"> false denials are few and at the moment</w:t>
      </w:r>
      <w:r w:rsidR="00695A59" w:rsidRPr="001B21F0">
        <w:rPr>
          <w:rFonts w:ascii="Book Antiqua" w:hAnsi="Book Antiqua" w:cs="Times New Roman"/>
          <w:lang w:val="en-US"/>
        </w:rPr>
        <w:t>,</w:t>
      </w:r>
      <w:r w:rsidRPr="001B21F0">
        <w:rPr>
          <w:rFonts w:ascii="Book Antiqua" w:hAnsi="Book Antiqua" w:cs="Times New Roman"/>
          <w:lang w:val="en-US"/>
        </w:rPr>
        <w:t xml:space="preserve"> only distal parallels can be drawn from associated research as attempts are made to enrich false denial literature. </w:t>
      </w:r>
      <w:r w:rsidR="00695A59" w:rsidRPr="001B21F0">
        <w:rPr>
          <w:rFonts w:ascii="Book Antiqua" w:hAnsi="Book Antiqua" w:cs="Times New Roman"/>
          <w:lang w:val="en-US"/>
        </w:rPr>
        <w:t>A</w:t>
      </w:r>
      <w:r w:rsidRPr="001B21F0">
        <w:rPr>
          <w:rFonts w:ascii="Book Antiqua" w:hAnsi="Book Antiqua" w:cs="Times New Roman"/>
          <w:lang w:val="en-US"/>
        </w:rPr>
        <w:t xml:space="preserve"> disproportionate focus</w:t>
      </w:r>
      <w:r w:rsidR="00695A59" w:rsidRPr="001B21F0">
        <w:rPr>
          <w:rFonts w:ascii="Book Antiqua" w:hAnsi="Book Antiqua" w:cs="Times New Roman"/>
          <w:lang w:val="en-US"/>
        </w:rPr>
        <w:t xml:space="preserve"> also exists</w:t>
      </w:r>
      <w:r w:rsidRPr="001B21F0">
        <w:rPr>
          <w:rFonts w:ascii="Book Antiqua" w:hAnsi="Book Antiqua" w:cs="Times New Roman"/>
          <w:lang w:val="en-US"/>
        </w:rPr>
        <w:t xml:space="preserve"> in favor of errors such as false allegations to the exclusion of the false negative error of false denial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"http://dx.doi.org/10.1037/1076-8971.1.2.429", "ISBN" : "1076-8971; 1939-1528", "ISSN" : "1076-8971, 1076-8971", "abstract" : "The amicus brief in the Kelly Michaels case ignores the risks that abused children will fail to reveal abuse unless direct and sometimes leading questions are asked. Although the brief correctly criticizes previous research for understating the risks that aggressive interviewing practices will lead young children to make false allegations of abuse, it overstates the likelihood that false allegations occur by overlooking the aspects of the Kelly Michaels case and the research it inspired that are unlike the typical abuse case. The author discusses factors that lead abused children to falsely deny abuse and that minimize the likelihood that nonabused children will allege abuse. Interviewers.", "author" : [ { "dropping-particle" : "", "family" : "Lyon", "given" : "T.D", "non-dropping-particle" : "", "parse-names" : false, "suffix" : "" } ], "container-title" : "Psychology, Public Policy, &amp; Law,", "id" : "ITEM-1", "issue" : "February", "issued" : { "date-parts" : [ [ "1995" ] ] }, "page" : "429-437", "title" : "False allegations and false denials in child sexual abuse", "type" : "article-journal", "volume" : "1" }, "uris" : [ "http://www.mendeley.com/documents/?uuid=e366faac-bf2b-4713-871b-68fc1e2c2cf7" ] } ], "mendeley" : { "formattedCitation" : "(Lyon, 1995)", "manualFormatting" : "(Lyon, 1995)", "plainTextFormattedCitation" : "(Lyon, 1995)", "previouslyFormattedCitation" : "(Lyon, 1995)"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(Lyon, 1995)</w:t>
      </w:r>
      <w:r w:rsidRPr="001B21F0">
        <w:rPr>
          <w:rFonts w:ascii="Book Antiqua" w:hAnsi="Book Antiqua" w:cs="Times New Roman"/>
          <w:lang w:val="en-US"/>
        </w:rPr>
        <w:fldChar w:fldCharType="end"/>
      </w:r>
      <w:r w:rsidRPr="001B21F0">
        <w:rPr>
          <w:rFonts w:ascii="Book Antiqua" w:hAnsi="Book Antiqua" w:cs="Times New Roman"/>
          <w:lang w:val="en-US"/>
        </w:rPr>
        <w:t>. The absence of rigorous research on false denials may in part be attributed to the idea held by some that</w:t>
      </w:r>
      <w:r w:rsidR="00695A59" w:rsidRPr="001B21F0">
        <w:rPr>
          <w:rFonts w:ascii="Book Antiqua" w:hAnsi="Book Antiqua" w:cs="Times New Roman"/>
          <w:lang w:val="en-US"/>
        </w:rPr>
        <w:t xml:space="preserve"> </w:t>
      </w:r>
      <w:r w:rsidRPr="001B21F0">
        <w:rPr>
          <w:rFonts w:ascii="Book Antiqua" w:hAnsi="Book Antiqua" w:cs="Times New Roman"/>
          <w:lang w:val="en-US"/>
        </w:rPr>
        <w:t>obtain</w:t>
      </w:r>
      <w:r w:rsidR="00695A59" w:rsidRPr="001B21F0">
        <w:rPr>
          <w:rFonts w:ascii="Book Antiqua" w:hAnsi="Book Antiqua" w:cs="Times New Roman"/>
          <w:lang w:val="en-US"/>
        </w:rPr>
        <w:t>ing</w:t>
      </w:r>
      <w:r w:rsidRPr="001B21F0">
        <w:rPr>
          <w:rFonts w:ascii="Book Antiqua" w:hAnsi="Book Antiqua" w:cs="Times New Roman"/>
          <w:lang w:val="en-US"/>
        </w:rPr>
        <w:t xml:space="preserve"> accurate data</w:t>
      </w:r>
      <w:r w:rsidR="00695A59" w:rsidRPr="001B21F0">
        <w:rPr>
          <w:rFonts w:ascii="Book Antiqua" w:hAnsi="Book Antiqua" w:cs="Times New Roman"/>
          <w:lang w:val="en-US"/>
        </w:rPr>
        <w:t xml:space="preserve"> would be immensely challenging</w:t>
      </w:r>
      <w:r w:rsidRPr="001B21F0">
        <w:rPr>
          <w:rFonts w:ascii="Book Antiqua" w:hAnsi="Book Antiqua" w:cs="Times New Roman"/>
          <w:lang w:val="en-US"/>
        </w:rPr>
        <w:t xml:space="preserve">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"10.1080/09658210701725732", "ISBN" : "0965-8211", "ISSN" : "0965-8211", "PMID" : "18158687", "abstract" : "Methods used during forensic interviews with children are driven by beliefs about how children recall and report child sexual abuse (CSA) to others. Summit (1983) proposed a theory (Child Sexual Abuse Accommodation Syndrome) contending that, due to the specific traumatic characteristics of CSA, children will often delay disclosing abuse or altogether fail to disclose during childhood, deny abuse when asked, and often recant abuse allegations. His theory has had a tremendous impact on the field of CSA forensic evaluations, despite its dearth of empirical support. In this paper, we review and critique the contemporary literature from two main sources: retrospective accounts from adults reporting CSA experiences and studies of children undergoing forensic evaluation for CSA. We conclude that data support the notion that children often delay abuse disclosure, but that among valid abuse cases undergoing forensic evaluation, denial and recantation are not common. Methodological issues and implications for forensic interviewers are discussed.", "author" : [ { "dropping-particle" : "", "family" : "London", "given" : "K", "non-dropping-particle" : "", "parse-names" : false, "suffix" : "" }, { "dropping-particle" : "", "family" : "Bruck", "given" : "M", "non-dropping-particle" : "", "parse-names" : false, "suffix" : "" }, { "dropping-particle" : "", "family" : "Wright", "given" : "D B", "non-dropping-particle" : "", "parse-names" : false, "suffix" : "" }, { "dropping-particle" : "", "family" : "Ceci", "given" : "S J", "non-dropping-particle" : "", "parse-names" : false, "suffix" : "" } ], "container-title" : "Memory", "id" : "ITEM-1", "issue" : "October 2016", "issued" : { "date-parts" : [ [ "2008" ] ] }, "page" : "29-47", "title" : "Review of the contemporary literature on how children report sexual abuse to others: Findings, methodological issues, and implications for forensic interviewers.", "type" : "article-journal", "volume" : "16" }, "uris" : [ "http://www.mendeley.com/documents/?uuid=a1c70b1e-4e9c-4468-af1d-3632cedcb161" ] } ], "mendeley" : { "formattedCitation" : "(London, Bruck, Wright, &amp; Ceci, 2008)", "manualFormatting" : "(London, Bruck, Wright, &amp; Ceci, 2008)", "plainTextFormattedCitation" : "(London, Bruck, Wright, &amp; Ceci, 2008)", "previouslyFormattedCitation" : "(London, Bruck, Wright, &amp; Ceci, 2008)"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(London, Bruck, Wright, &amp; Ceci, 2008)</w:t>
      </w:r>
      <w:r w:rsidRPr="001B21F0">
        <w:rPr>
          <w:rFonts w:ascii="Book Antiqua" w:hAnsi="Book Antiqua" w:cs="Times New Roman"/>
          <w:lang w:val="en-US"/>
        </w:rPr>
        <w:fldChar w:fldCharType="end"/>
      </w:r>
      <w:r w:rsidRPr="001B21F0">
        <w:rPr>
          <w:rFonts w:ascii="Book Antiqua" w:hAnsi="Book Antiqua" w:cs="Times New Roman"/>
          <w:lang w:val="en-US"/>
        </w:rPr>
        <w:t xml:space="preserve">. </w:t>
      </w:r>
      <w:r w:rsidR="005A5877" w:rsidRPr="001B21F0">
        <w:rPr>
          <w:rFonts w:ascii="Book Antiqua" w:hAnsi="Book Antiqua" w:cs="Times New Roman"/>
          <w:lang w:val="en-US"/>
        </w:rPr>
        <w:t xml:space="preserve">More specifically, </w:t>
      </w:r>
      <w:r w:rsidRPr="001B21F0">
        <w:rPr>
          <w:rFonts w:ascii="Book Antiqua" w:hAnsi="Book Antiqua" w:cs="Times New Roman"/>
          <w:lang w:val="en-US"/>
        </w:rPr>
        <w:t xml:space="preserve">London and colleagues argued that </w:t>
      </w:r>
      <w:r w:rsidR="005A5877" w:rsidRPr="001B21F0">
        <w:rPr>
          <w:rFonts w:ascii="Book Antiqua" w:hAnsi="Book Antiqua" w:cs="Times New Roman"/>
          <w:lang w:val="en-US"/>
        </w:rPr>
        <w:t>accurately assess</w:t>
      </w:r>
      <w:r w:rsidR="00695A59" w:rsidRPr="001B21F0">
        <w:rPr>
          <w:rFonts w:ascii="Book Antiqua" w:hAnsi="Book Antiqua" w:cs="Times New Roman"/>
          <w:lang w:val="en-US"/>
        </w:rPr>
        <w:t>ing</w:t>
      </w:r>
      <w:r w:rsidR="005A5877" w:rsidRPr="001B21F0">
        <w:rPr>
          <w:rFonts w:ascii="Book Antiqua" w:hAnsi="Book Antiqua" w:cs="Times New Roman"/>
          <w:lang w:val="en-US"/>
        </w:rPr>
        <w:t xml:space="preserve"> the rates of denial </w:t>
      </w:r>
      <w:r w:rsidR="00695A59" w:rsidRPr="001B21F0">
        <w:rPr>
          <w:rFonts w:ascii="Book Antiqua" w:hAnsi="Book Antiqua" w:cs="Times New Roman"/>
          <w:lang w:val="en-US"/>
        </w:rPr>
        <w:t xml:space="preserve">is almost impossible </w:t>
      </w:r>
      <w:r w:rsidR="005A5877" w:rsidRPr="001B21F0">
        <w:rPr>
          <w:rFonts w:ascii="Book Antiqua" w:hAnsi="Book Antiqua" w:cs="Times New Roman"/>
          <w:lang w:val="en-US"/>
        </w:rPr>
        <w:t xml:space="preserve">because </w:t>
      </w:r>
      <w:r w:rsidR="00BD127C" w:rsidRPr="001B21F0">
        <w:rPr>
          <w:rFonts w:ascii="Book Antiqua" w:hAnsi="Book Antiqua" w:cs="Times New Roman"/>
          <w:lang w:val="en-US"/>
        </w:rPr>
        <w:t>most</w:t>
      </w:r>
      <w:r w:rsidR="005A5877" w:rsidRPr="001B21F0">
        <w:rPr>
          <w:rFonts w:ascii="Book Antiqua" w:hAnsi="Book Antiqua" w:cs="Times New Roman"/>
          <w:lang w:val="en-US"/>
        </w:rPr>
        <w:t xml:space="preserve"> sexually abuse</w:t>
      </w:r>
      <w:r w:rsidR="00AF6186" w:rsidRPr="001B21F0">
        <w:rPr>
          <w:rFonts w:ascii="Book Antiqua" w:hAnsi="Book Antiqua" w:cs="Times New Roman"/>
          <w:lang w:val="en-US"/>
        </w:rPr>
        <w:t>d</w:t>
      </w:r>
      <w:r w:rsidR="005A5877" w:rsidRPr="001B21F0">
        <w:rPr>
          <w:rFonts w:ascii="Book Antiqua" w:hAnsi="Book Antiqua" w:cs="Times New Roman"/>
          <w:lang w:val="en-US"/>
        </w:rPr>
        <w:t xml:space="preserve"> children are never systematically interviewed. </w:t>
      </w:r>
      <w:r w:rsidRPr="001B21F0">
        <w:rPr>
          <w:rFonts w:ascii="Book Antiqua" w:hAnsi="Book Antiqua" w:cs="Times New Roman"/>
          <w:lang w:val="en-US"/>
        </w:rPr>
        <w:t xml:space="preserve">They argued further that </w:t>
      </w:r>
      <w:r w:rsidR="00695A59" w:rsidRPr="001B21F0">
        <w:rPr>
          <w:rFonts w:ascii="Book Antiqua" w:hAnsi="Book Antiqua" w:cs="Times New Roman"/>
          <w:lang w:val="en-US"/>
        </w:rPr>
        <w:t xml:space="preserve">because </w:t>
      </w:r>
      <w:r w:rsidRPr="001B21F0">
        <w:rPr>
          <w:rFonts w:ascii="Book Antiqua" w:hAnsi="Book Antiqua" w:cs="Times New Roman"/>
          <w:lang w:val="en-US"/>
        </w:rPr>
        <w:t>most sexually abused children are not officially interviewed</w:t>
      </w:r>
      <w:r w:rsidR="00695A59" w:rsidRPr="001B21F0">
        <w:rPr>
          <w:rFonts w:ascii="Book Antiqua" w:hAnsi="Book Antiqua" w:cs="Times New Roman"/>
          <w:lang w:val="en-US"/>
        </w:rPr>
        <w:t>,</w:t>
      </w:r>
      <w:r w:rsidRPr="001B21F0">
        <w:rPr>
          <w:rFonts w:ascii="Book Antiqua" w:hAnsi="Book Antiqua" w:cs="Times New Roman"/>
          <w:lang w:val="en-US"/>
        </w:rPr>
        <w:t xml:space="preserve"> such a sample would be unrepresentative of the entire population. However</w:t>
      </w:r>
      <w:r w:rsidR="00695A59" w:rsidRPr="001B21F0">
        <w:rPr>
          <w:rFonts w:ascii="Book Antiqua" w:hAnsi="Book Antiqua" w:cs="Times New Roman"/>
          <w:lang w:val="en-US"/>
        </w:rPr>
        <w:t>,</w:t>
      </w:r>
      <w:r w:rsidRPr="001B21F0">
        <w:rPr>
          <w:rFonts w:ascii="Book Antiqua" w:hAnsi="Book Antiqua" w:cs="Times New Roman"/>
          <w:lang w:val="en-US"/>
        </w:rPr>
        <w:t xml:space="preserve"> we believe that exploration into the issue of false denials should remain at the forefront of academic inquiry, if for no other reason than the fact that false denials could result in the dismissal of authentic cases of abuse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"ISBN" : "0009-4021", "ISSN" : "00094021", "PMID" : "1997290", "abstract" : "In an analysis of the disclosure by a large number of children from three to 17 years of age of having been sexually abused, and who were eventually confirmed as credible victims, the large majority at first denied the abuse. The authors describe disclosure as a process with definable phases and characteristics--seldom the single entity that typical investigations consider disclosure to be, thereby setting the stage for ensuring injustices and harm to the children.", "author" : [ { "dropping-particle" : "", "family" : "Sorensen", "given" : "T.", "non-dropping-particle" : "", "parse-names" : false, "suffix" : "" }, { "dropping-particle" : "", "family" : "Snow", "given" : "B.", "non-dropping-particle" : "", "parse-names" : false, "suffix" : "" } ], "container-title" : "Child welfare", "id" : "ITEM-1", "issue" : "1", "issued" : { "date-parts" : [ [ "1991" ] ] }, "page" : "3-15", "title" : "How children tell: the process of disclosure in child sexual abuse.", "type" : "article-journal", "volume" : "70" }, "uris" : [ "http://www.mendeley.com/documents/?uuid=53a9bf5c-d2d7-4e93-9c3f-91e4aa448090" ] } ], "mendeley" : { "formattedCitation" : "(Sorensen &amp; Snow, 1991)", "plainTextFormattedCitation" : "(Sorensen &amp; Snow, 1991)", "previouslyFormattedCitation" : "(Sorensen &amp; Snow, 1991)"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(Sorensen &amp; Snow, 1991)</w:t>
      </w:r>
      <w:r w:rsidRPr="001B21F0">
        <w:rPr>
          <w:rFonts w:ascii="Book Antiqua" w:hAnsi="Book Antiqua" w:cs="Times New Roman"/>
          <w:lang w:val="en-US"/>
        </w:rPr>
        <w:fldChar w:fldCharType="end"/>
      </w:r>
      <w:r w:rsidRPr="001B21F0">
        <w:rPr>
          <w:rFonts w:ascii="Book Antiqua" w:hAnsi="Book Antiqua" w:cs="Times New Roman"/>
          <w:lang w:val="en-US"/>
        </w:rPr>
        <w:t xml:space="preserve">. </w:t>
      </w:r>
    </w:p>
    <w:p w14:paraId="278DCD16" w14:textId="77777777" w:rsidR="00EF6378" w:rsidRPr="001B21F0" w:rsidRDefault="00EF6378" w:rsidP="00EF6378">
      <w:pPr>
        <w:spacing w:after="0" w:line="240" w:lineRule="auto"/>
        <w:rPr>
          <w:rFonts w:ascii="Book Antiqua" w:hAnsi="Book Antiqua" w:cs="Times New Roman"/>
          <w:b/>
          <w:lang w:val="en-US"/>
        </w:rPr>
      </w:pPr>
    </w:p>
    <w:p w14:paraId="48AA95E7" w14:textId="7F52D3A1" w:rsidR="00D4694C" w:rsidRPr="001B21F0" w:rsidRDefault="00D4694C" w:rsidP="00EF6378">
      <w:pPr>
        <w:spacing w:after="0" w:line="240" w:lineRule="auto"/>
        <w:rPr>
          <w:rFonts w:ascii="Book Antiqua" w:hAnsi="Book Antiqua" w:cs="Times New Roman"/>
          <w:b/>
          <w:lang w:val="en-US"/>
        </w:rPr>
      </w:pPr>
      <w:r w:rsidRPr="001B21F0">
        <w:rPr>
          <w:rFonts w:ascii="Book Antiqua" w:hAnsi="Book Antiqua" w:cs="Times New Roman"/>
          <w:b/>
          <w:lang w:val="en-US"/>
        </w:rPr>
        <w:t xml:space="preserve">Non-disclosure </w:t>
      </w:r>
    </w:p>
    <w:p w14:paraId="0673ABD9" w14:textId="77777777" w:rsidR="00EF6378" w:rsidRPr="001B21F0" w:rsidRDefault="00EF6378" w:rsidP="00EF6378">
      <w:pPr>
        <w:spacing w:after="0" w:line="240" w:lineRule="auto"/>
        <w:jc w:val="both"/>
        <w:rPr>
          <w:rFonts w:ascii="Book Antiqua" w:hAnsi="Book Antiqua" w:cs="Times New Roman"/>
          <w:lang w:val="en-US"/>
        </w:rPr>
      </w:pPr>
    </w:p>
    <w:p w14:paraId="5345A1E6" w14:textId="184EF1DF" w:rsidR="00D4694C" w:rsidRPr="001B21F0" w:rsidRDefault="00D4694C" w:rsidP="00EF6378">
      <w:pPr>
        <w:spacing w:after="0" w:line="240" w:lineRule="auto"/>
        <w:jc w:val="both"/>
        <w:rPr>
          <w:rFonts w:ascii="Book Antiqua" w:hAnsi="Book Antiqua" w:cs="Times New Roman"/>
          <w:lang w:val="en-US"/>
        </w:rPr>
      </w:pPr>
      <w:r w:rsidRPr="001B21F0">
        <w:rPr>
          <w:rFonts w:ascii="Book Antiqua" w:hAnsi="Book Antiqua" w:cs="Times New Roman"/>
          <w:lang w:val="en-US"/>
        </w:rPr>
        <w:t xml:space="preserve">Disclosure is known to facilitate mental healing in </w:t>
      </w:r>
      <w:r w:rsidR="00B4098B" w:rsidRPr="001B21F0">
        <w:rPr>
          <w:rFonts w:ascii="Book Antiqua" w:hAnsi="Book Antiqua" w:cs="Times New Roman"/>
          <w:lang w:val="en-US"/>
        </w:rPr>
        <w:t xml:space="preserve">victims of </w:t>
      </w:r>
      <w:r w:rsidRPr="001B21F0">
        <w:rPr>
          <w:rFonts w:ascii="Book Antiqua" w:hAnsi="Book Antiqua" w:cs="Times New Roman"/>
          <w:lang w:val="en-US"/>
        </w:rPr>
        <w:t xml:space="preserve">CSA, has bearings on long-term mental outcome, and lowers the likelihood of re-victimization (Kogan, 2005; </w:t>
      </w:r>
      <w:r w:rsidRPr="001B21F0">
        <w:rPr>
          <w:rFonts w:ascii="Book Antiqua" w:hAnsi="Book Antiqua" w:cs="Times New Roman"/>
          <w:noProof/>
          <w:lang w:val="en-US"/>
        </w:rPr>
        <w:t>Sorsoli, Kia-Keating, &amp; Grossman, 2008</w:t>
      </w:r>
      <w:r w:rsidRPr="001B21F0">
        <w:rPr>
          <w:rFonts w:ascii="Book Antiqua" w:hAnsi="Book Antiqua" w:cs="Times New Roman"/>
          <w:lang w:val="en-US"/>
        </w:rPr>
        <w:t>). Victims may decide to informally confide in a peer about their abuse or disclose formally during a regular visit to the family medical doctor (Ullman, 2002).</w:t>
      </w:r>
      <w:r w:rsidR="006C2873" w:rsidRPr="001B21F0">
        <w:rPr>
          <w:rFonts w:ascii="Book Antiqua" w:hAnsi="Book Antiqua" w:cs="Times New Roman"/>
          <w:lang w:val="en-US"/>
        </w:rPr>
        <w:t xml:space="preserve"> </w:t>
      </w:r>
      <w:r w:rsidR="0023755B" w:rsidRPr="001B21F0">
        <w:rPr>
          <w:rFonts w:ascii="Book Antiqua" w:hAnsi="Book Antiqua" w:cs="Times New Roman"/>
          <w:lang w:val="en-US"/>
        </w:rPr>
        <w:t>However</w:t>
      </w:r>
      <w:r w:rsidR="0036225F" w:rsidRPr="001B21F0">
        <w:rPr>
          <w:rFonts w:ascii="Book Antiqua" w:hAnsi="Book Antiqua" w:cs="Times New Roman"/>
          <w:lang w:val="en-US"/>
        </w:rPr>
        <w:t xml:space="preserve">, </w:t>
      </w:r>
      <w:r w:rsidRPr="001B21F0">
        <w:rPr>
          <w:rFonts w:ascii="Book Antiqua" w:hAnsi="Book Antiqua" w:cs="Times New Roman"/>
          <w:lang w:val="en-US"/>
        </w:rPr>
        <w:t>victims</w:t>
      </w:r>
      <w:r w:rsidR="00300491" w:rsidRPr="001B21F0">
        <w:rPr>
          <w:rFonts w:ascii="Book Antiqua" w:hAnsi="Book Antiqua" w:cs="Times New Roman"/>
          <w:lang w:val="en-US"/>
        </w:rPr>
        <w:t xml:space="preserve"> of sexual abuse</w:t>
      </w:r>
      <w:r w:rsidRPr="001B21F0">
        <w:rPr>
          <w:rFonts w:ascii="Book Antiqua" w:hAnsi="Book Antiqua" w:cs="Times New Roman"/>
          <w:lang w:val="en-US"/>
        </w:rPr>
        <w:t xml:space="preserve"> are not as forthcoming about their experiences as the general public may think. Childhood disclosures commonly occur after a long period of time has elapsed (London et al., 2008). </w:t>
      </w:r>
      <w:r w:rsidR="0023755B" w:rsidRPr="001B21F0">
        <w:rPr>
          <w:rFonts w:ascii="Book Antiqua" w:hAnsi="Book Antiqua" w:cs="Times New Roman"/>
          <w:lang w:val="en-US"/>
        </w:rPr>
        <w:t xml:space="preserve">Furthermore, </w:t>
      </w:r>
      <w:r w:rsidRPr="001B21F0">
        <w:rPr>
          <w:rFonts w:ascii="Book Antiqua" w:hAnsi="Book Antiqua" w:cs="Times New Roman"/>
          <w:lang w:val="en-US"/>
        </w:rPr>
        <w:t>in the vast majority of cases</w:t>
      </w:r>
      <w:r w:rsidR="006C2873" w:rsidRPr="001B21F0">
        <w:rPr>
          <w:rFonts w:ascii="Book Antiqua" w:hAnsi="Book Antiqua" w:cs="Times New Roman"/>
          <w:lang w:val="en-US"/>
        </w:rPr>
        <w:t>,</w:t>
      </w:r>
      <w:r w:rsidRPr="001B21F0">
        <w:rPr>
          <w:rFonts w:ascii="Book Antiqua" w:hAnsi="Book Antiqua" w:cs="Times New Roman"/>
          <w:lang w:val="en-US"/>
        </w:rPr>
        <w:t xml:space="preserve"> survivors of sexual abuse never disclose (</w:t>
      </w:r>
      <w:r w:rsidRPr="001B21F0">
        <w:rPr>
          <w:rFonts w:ascii="Book Antiqua" w:hAnsi="Book Antiqua" w:cs="Times New Roman"/>
          <w:noProof/>
          <w:lang w:val="en-US"/>
        </w:rPr>
        <w:t>Hébert</w:t>
      </w:r>
      <w:r w:rsidRPr="001B21F0">
        <w:rPr>
          <w:rFonts w:ascii="Book Antiqua" w:hAnsi="Book Antiqua" w:cs="Times New Roman"/>
          <w:lang w:val="en-US"/>
        </w:rPr>
        <w:t xml:space="preserve">, </w:t>
      </w:r>
      <w:proofErr w:type="spellStart"/>
      <w:r w:rsidRPr="001B21F0">
        <w:rPr>
          <w:rFonts w:ascii="Book Antiqua" w:hAnsi="Book Antiqua" w:cs="Times New Roman"/>
          <w:lang w:val="en-US"/>
        </w:rPr>
        <w:t>Tourigny</w:t>
      </w:r>
      <w:proofErr w:type="spellEnd"/>
      <w:r w:rsidRPr="001B21F0">
        <w:rPr>
          <w:rFonts w:ascii="Book Antiqua" w:hAnsi="Book Antiqua" w:cs="Times New Roman"/>
          <w:lang w:val="en-US"/>
        </w:rPr>
        <w:t xml:space="preserve">, Cyr, McDuff, &amp; Joly, 2009) or </w:t>
      </w:r>
      <w:r w:rsidRPr="001B21F0">
        <w:rPr>
          <w:rFonts w:ascii="Book Antiqua" w:hAnsi="Book Antiqua" w:cs="Times New Roman"/>
          <w:lang w:val="en-US"/>
        </w:rPr>
        <w:t>wait until adulthood</w:t>
      </w:r>
      <w:r w:rsidR="006C2873" w:rsidRPr="001B21F0">
        <w:rPr>
          <w:rFonts w:ascii="Book Antiqua" w:hAnsi="Book Antiqua" w:cs="Times New Roman"/>
          <w:lang w:val="en-US"/>
        </w:rPr>
        <w:t>,</w:t>
      </w:r>
      <w:r w:rsidRPr="001B21F0">
        <w:rPr>
          <w:rFonts w:ascii="Book Antiqua" w:hAnsi="Book Antiqua" w:cs="Times New Roman"/>
          <w:lang w:val="en-US"/>
        </w:rPr>
        <w:t xml:space="preserve"> as was the case with </w:t>
      </w:r>
      <w:proofErr w:type="spellStart"/>
      <w:r w:rsidRPr="001B21F0">
        <w:rPr>
          <w:rFonts w:ascii="Book Antiqua" w:hAnsi="Book Antiqua" w:cs="Times New Roman"/>
          <w:lang w:val="en-US"/>
        </w:rPr>
        <w:t>Shantelle</w:t>
      </w:r>
      <w:proofErr w:type="spellEnd"/>
      <w:r w:rsidR="006C2873" w:rsidRPr="001B21F0">
        <w:rPr>
          <w:rFonts w:ascii="Book Antiqua" w:hAnsi="Book Antiqua" w:cs="Times New Roman"/>
          <w:lang w:val="en-US"/>
        </w:rPr>
        <w:t>,</w:t>
      </w:r>
      <w:r w:rsidRPr="001B21F0">
        <w:rPr>
          <w:rFonts w:ascii="Book Antiqua" w:hAnsi="Book Antiqua" w:cs="Times New Roman"/>
          <w:lang w:val="en-US"/>
        </w:rPr>
        <w:t xml:space="preserve"> who disclosed eight years after the onset of her abuse (</w:t>
      </w:r>
      <w:proofErr w:type="spellStart"/>
      <w:r w:rsidRPr="001B21F0">
        <w:rPr>
          <w:rFonts w:ascii="Book Antiqua" w:hAnsi="Book Antiqua" w:cs="Times New Roman"/>
          <w:lang w:val="en-US"/>
        </w:rPr>
        <w:t>Jonzon</w:t>
      </w:r>
      <w:proofErr w:type="spellEnd"/>
      <w:r w:rsidRPr="001B21F0">
        <w:rPr>
          <w:rFonts w:ascii="Book Antiqua" w:hAnsi="Book Antiqua" w:cs="Times New Roman"/>
          <w:lang w:val="en-US"/>
        </w:rPr>
        <w:t xml:space="preserve"> &amp; Lindblad, 2004; London et al., 2005). </w:t>
      </w:r>
    </w:p>
    <w:p w14:paraId="3160CC5F" w14:textId="7159B309" w:rsidR="00D4694C" w:rsidRPr="001B21F0" w:rsidRDefault="00D4694C" w:rsidP="00C41F6B">
      <w:pPr>
        <w:spacing w:after="0" w:line="240" w:lineRule="auto"/>
        <w:ind w:firstLine="284"/>
        <w:jc w:val="both"/>
        <w:rPr>
          <w:rFonts w:ascii="Book Antiqua" w:hAnsi="Book Antiqua" w:cs="Times New Roman"/>
          <w:lang w:val="en-US"/>
        </w:rPr>
      </w:pPr>
      <w:r w:rsidRPr="001B21F0">
        <w:rPr>
          <w:rFonts w:ascii="Book Antiqua" w:hAnsi="Book Antiqua" w:cs="Times New Roman"/>
          <w:lang w:val="en-US"/>
        </w:rPr>
        <w:t xml:space="preserve">The failure to disclose prevents many CSA cases from being officially brought to the attention of legal authorities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"10.1177/0886260514564155", "ISBN" : "0886-2605", "ISSN" : "1552-6518", "PMID" : "25550167", "abstract" : "Many adult survivors of childhood abuse hide their victimization, avoiding disclosure that could identify perpetrators, end the abuse, and bring help to the victim. We surveyed 1,679 women undergraduates to understand disclosure of childhood sexual, physical, and emotional abuse, and, for the first time, witnessed domestic violence, which many consider to be emotionally abusive. A substantial minority of victims failed to ever disclose their sexual abuse (23%), physical abuse (34%), emotional abuse (20%), and witnessed domestic violence (29%). Overall, abuse-specific factors were better predictors of disclosure than individual-level characteristics. Disclosure of sexual abuse was related to experiencing more frequent abuse (by the same and by multiple perpetrators), being more worried about injury and more upset at the time of the abuse, and self-labeling as a victim of abuse. Disclosure of physical abuse was related to experiencing more frequent abuse (by the same and multiple perpetrators), being less emotionally close to the perpetrator, being older when the abuse ended, being more worried and upset, and self-labeling as a victim. Disclosure of emotional abuse was associated with being older when the abuse ended, and being more worried and upset. Disclosure was unrelated to victim demographic characteristics or defensive reactions (dissociative proneness, fantasy proneness, repressive coping style, and temporary forgetting), except that among physical and emotional abuse victims, repressors were less likely to disclose than non-repressors. Disclosure of witnessing domestic violence was not significantly related to any factors measured.", "author" : [ { "dropping-particle" : "", "family" : "Bottoms", "given" : "Bette L", "non-dropping-particle" : "", "parse-names" : false, "suffix" : "" }, { "dropping-particle" : "", "family" : "Peter-Hagene", "given" : "Liana C", "non-dropping-particle" : "", "parse-names" : false, "suffix" : "" }, { "dropping-particle" : "", "family" : "Epstein", "given" : "Michelle a", "non-dropping-particle" : "", "parse-names" : false, "suffix" : "" }, { "dropping-particle" : "", "family" : "Wiley", "given" : "Tisha R a", "non-dropping-particle" : "", "parse-names" : false, "suffix" : "" }, { "dropping-particle" : "", "family" : "Reynolds", "given" : "Carrie E", "non-dropping-particle" : "", "parse-names" : false, "suffix" : "" }, { "dropping-particle" : "", "family" : "Rudnicki", "given" : "Aaron G", "non-dropping-particle" : "", "parse-names" : false, "suffix" : "" } ], "container-title" : "Journal of interpersonal violence", "id" : "ITEM-1", "issue" : "7", "issued" : { "date-parts" : [ [ "2016" ] ] }, "page" : "1308-39</w:instrText>
      </w:r>
      <w:r w:rsidRPr="001B21F0">
        <w:rPr>
          <w:rFonts w:ascii="Book Antiqua" w:hAnsi="Book Antiqua" w:cs="Times New Roman"/>
        </w:rPr>
        <w:instrText>", "title" : "Abuse Characteristics and Individual Differences Related to Disclosing Childhood Sexual, Physical, and Emotional Abuse and Witnessed Domestic Violence.", "type" : "article-journal", "volume" : "31" }, "uris" : [ "http://www.mendeley.com/documents/?uuid=ce0ab703-d881-40fc-afe6-54faa3a1e0e1" ] } ], "mendeley" : { "formattedCitation" : "(Bottoms et al., 2016)", "manualFormatting" : "(Somer &amp; Szwarcberg, 2001; Bottoms et al., 2016)", "plainTextFormattedCitation" : "(Bottoms et al., 2016)", "previouslyFormattedCitation" : "(Bottoms et al., 2016)"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rPr>
        <w:t>(</w:t>
      </w:r>
      <w:r w:rsidR="00AD0D08" w:rsidRPr="001B21F0">
        <w:rPr>
          <w:rFonts w:ascii="Book Antiqua" w:hAnsi="Book Antiqua" w:cs="Times New Roman"/>
          <w:noProof/>
        </w:rPr>
        <w:t xml:space="preserve">Bottoms et al., 2016; </w:t>
      </w:r>
      <w:r w:rsidRPr="001B21F0">
        <w:rPr>
          <w:rFonts w:ascii="Book Antiqua" w:hAnsi="Book Antiqua" w:cs="Times New Roman"/>
          <w:noProof/>
          <w:lang w:val="en-US"/>
        </w:rPr>
        <w:fldChar w:fldCharType="begin" w:fldLock="1"/>
      </w:r>
      <w:r w:rsidRPr="001B21F0">
        <w:rPr>
          <w:rFonts w:ascii="Book Antiqua" w:hAnsi="Book Antiqua" w:cs="Times New Roman"/>
          <w:noProof/>
        </w:rPr>
        <w:instrText>ADDIN CSL_CITATION { "citationItems" : [ { "id" : "ITEM-1", "itemData" : { "DOI" : "10.1037/0002-9432.71.3.332", "ISBN" : "0002-9432", "ISSN" : "0002-9432", "PMID" : "11495335", "abstract" : "In a study of 41 adult survivors of childhood sexual abuse, the level of childhood traumatization was found to have contributed to delayed disclosure of the abuse. Other delaying variables included: belief in the importance of obedience to grownups, mistrust of people, fear of social rejection, and fear of the criminal justice system. Variables such as media attention to similar cases and experiences of personal achievement were inversely related to the age at disclosure. Recommendations for policy are discussed.", "author" : [ { "dropping-particle" : "", "family" : "Somer", "given" : "E", "non-dropping-particle" : "", "parse-names" : false, "suffix" : "" }, { "dropping-particle" : "", "family" : "Szwarcberg", "given" : "S", "non-dropping-particle" : "", "parse-names" : false, "suffix" : "" } ], "container-title" : "The American journal of orthopsychiatry", "id" : "ITEM-1", "issue" : "3", "issued" : { "date-parts" : [ [ "2001" ] ] }, "page" : "332-41", "title" : "Variables in delayed disclosure of childhood sexual abuse.", "type" : "article-journal", "volume" : "71" }, "uris" : [ "http://www.mendeley.com/documents/?uuid=3afca8a7-b0f7-4926-a37c-2ac49b167a80" ] } ], "mendeley" : { "formattedCitation" : "(Somer &amp; Szwarcberg, 2001)", "manualFormatting" : "Somer &amp; Szwarcberg, 2001;", "plainTextFormattedCitation" : "(Somer &amp; Szwarcberg, 2001)", "previouslyFormattedCitation" : "(Somer &amp; Szwarcberg, 2001)" }, "properties" : { "noteIndex" : 0 }, "schema" : "https://github.com/citation-style-language/schema/raw/master/csl-citation.json" }</w:instrText>
      </w:r>
      <w:r w:rsidRPr="001B21F0">
        <w:rPr>
          <w:rFonts w:ascii="Book Antiqua" w:hAnsi="Book Antiqua" w:cs="Times New Roman"/>
          <w:noProof/>
          <w:lang w:val="en-US"/>
        </w:rPr>
        <w:fldChar w:fldCharType="separate"/>
      </w:r>
      <w:r w:rsidRPr="001B21F0">
        <w:rPr>
          <w:rFonts w:ascii="Book Antiqua" w:hAnsi="Book Antiqua" w:cs="Times New Roman"/>
          <w:noProof/>
        </w:rPr>
        <w:t>Somer &amp; Szwarcberg, 2001</w:t>
      </w:r>
      <w:r w:rsidRPr="001B21F0">
        <w:rPr>
          <w:rFonts w:ascii="Book Antiqua" w:hAnsi="Book Antiqua" w:cs="Times New Roman"/>
          <w:noProof/>
          <w:lang w:val="en-US"/>
        </w:rPr>
        <w:fldChar w:fldCharType="end"/>
      </w:r>
      <w:r w:rsidRPr="001B21F0">
        <w:rPr>
          <w:rFonts w:ascii="Book Antiqua" w:hAnsi="Book Antiqua" w:cs="Times New Roman"/>
          <w:noProof/>
        </w:rPr>
        <w:t>)</w:t>
      </w:r>
      <w:r w:rsidRPr="001B21F0">
        <w:rPr>
          <w:rFonts w:ascii="Book Antiqua" w:hAnsi="Book Antiqua" w:cs="Times New Roman"/>
          <w:lang w:val="en-US"/>
        </w:rPr>
        <w:fldChar w:fldCharType="end"/>
      </w:r>
      <w:r w:rsidRPr="001B21F0">
        <w:rPr>
          <w:rFonts w:ascii="Book Antiqua" w:hAnsi="Book Antiqua" w:cs="Times New Roman"/>
        </w:rPr>
        <w:t xml:space="preserve">. </w:t>
      </w:r>
      <w:r w:rsidR="0023755B" w:rsidRPr="001B21F0">
        <w:rPr>
          <w:rFonts w:ascii="Book Antiqua" w:hAnsi="Book Antiqua" w:cs="Times New Roman"/>
        </w:rPr>
        <w:t>One impediment to disclosure is the fact that</w:t>
      </w:r>
      <w:r w:rsidRPr="001B21F0">
        <w:rPr>
          <w:rFonts w:ascii="Book Antiqua" w:hAnsi="Book Antiqua" w:cs="Times New Roman"/>
        </w:rPr>
        <w:t xml:space="preserve"> the decision to disclose may be beyond the locus of control of some victims. </w:t>
      </w:r>
      <w:r w:rsidRPr="001B21F0">
        <w:rPr>
          <w:rFonts w:ascii="Book Antiqua" w:hAnsi="Book Antiqua" w:cs="Times New Roman"/>
          <w:lang w:val="en-US"/>
        </w:rPr>
        <w:t xml:space="preserve">When instructed by the perpetrator to do so, many keep the abuse a secret for long periods of times (London et al., 2008). The concept of </w:t>
      </w:r>
      <w:r w:rsidR="0023755B" w:rsidRPr="001B21F0">
        <w:rPr>
          <w:rFonts w:ascii="Book Antiqua" w:hAnsi="Book Antiqua" w:cs="Times New Roman"/>
          <w:i/>
          <w:lang w:val="en-US"/>
        </w:rPr>
        <w:t>secrecy</w:t>
      </w:r>
      <w:r w:rsidRPr="001B21F0">
        <w:rPr>
          <w:rFonts w:ascii="Book Antiqua" w:hAnsi="Book Antiqua" w:cs="Times New Roman"/>
          <w:lang w:val="en-US"/>
        </w:rPr>
        <w:t xml:space="preserve"> is sometimes exploited by </w:t>
      </w:r>
      <w:r w:rsidR="00C06771" w:rsidRPr="001B21F0">
        <w:rPr>
          <w:rFonts w:ascii="Book Antiqua" w:hAnsi="Book Antiqua" w:cs="Times New Roman"/>
          <w:lang w:val="en-US"/>
        </w:rPr>
        <w:t>CSA</w:t>
      </w:r>
      <w:r w:rsidRPr="001B21F0">
        <w:rPr>
          <w:rFonts w:ascii="Book Antiqua" w:hAnsi="Book Antiqua" w:cs="Times New Roman"/>
          <w:lang w:val="en-US"/>
        </w:rPr>
        <w:t xml:space="preserve"> offenders to force compliance in victims </w:t>
      </w:r>
      <w:r w:rsidRPr="001B21F0">
        <w:rPr>
          <w:rFonts w:ascii="Book Antiqua" w:hAnsi="Book Antiqua" w:cs="Times New Roman"/>
          <w:lang w:val="en-US"/>
        </w:rPr>
        <w:fldChar w:fldCharType="begin" w:fldLock="1"/>
      </w:r>
      <w:r w:rsidR="00971E98" w:rsidRPr="001B21F0">
        <w:rPr>
          <w:rFonts w:ascii="Book Antiqua" w:hAnsi="Book Antiqua" w:cs="Times New Roman"/>
          <w:lang w:val="en-US"/>
        </w:rPr>
        <w:instrText>ADDIN CSL_CITATION { "citationItems" : [ { "id" : "ITEM-1", "itemData" : { "DOI" : "10.1016/0145-2134(95)00017-3", "ISBN" : "0145-2134", "ISSN" : "0145-2134", "PMID" : "7664138", "abstract" : "Ninety-one child sex offenders were interviewed about the methods they used to target children, the age range of their victims, how they selected children and maintained them as victims, and what suggestions they had for preventing child sexual abuse. Offenders were selected from treatment programs, probation, special hospitals, and prisons. They were interviewed using a semi-structured questionnaire. Results indicate that offenders gained access to children through caretaking, such as babysitting; targeted children by using bribes, gifts and games; used force, anger, threats, and bribes to ensure their continuing compliance; and systematically desensitized children through touch, talk about sex, and persuasion. Nearly half the offenders had no bad feelings about sexually abusing children. The implications for prevention programs are discussed.", "author" : [ { "dropping-particle" : "", "family" : "Elliott", "given" : "M", "non-dropping-particle" : "", "parse-names" : false, "suffix" : "" }, { "dropping-particle" : "", "family" : "Browne", "given" : "K", "non-dropping-particle" : "", "parse-names" : false, "suffix" : "" }, { "dropping-particle" : "", "family" : "Kilcoyne", "given" : "J", "non-dropping-particle" : "", "parse-names" : false, "suffix" : "" } ], "container-title" : "Child abuse &amp; neglect", "id" : "ITEM-1", "issue" : "5", "issued" : { "date-parts" : [ [ "1995" ] ] }, "page" : "579-94", "title" : "Child sexual abuse prevention: what offenders tell us.", "type" : "article-journal", "volume" : "19" }, "uris" : [ "http://www.mendeley.com/documents/?uuid=034f5323-756b-47e0-ac7f-a2ebe0584063" ] } ], "mendeley" : { "formattedCitation" : "(M. Elliott, Browne, &amp; Kilcoyne, 1995)", "manualFormatting" : "(Elliott, Browne, &amp; Kilcoyne, 1995; Magnusson, Ernberg, &amp; Landstrom, 2017)", "plainTextFormattedCitation" : "(M. Elliott, Browne, &amp; Kilcoyne, 1995)", "previouslyFormattedCitation" : "(M. Elliott, Browne, &amp; Kilcoyne, 1995)"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(Elliott, Browne, &amp; Kilcoyne, 1995; Magnusson</w:t>
      </w:r>
      <w:r w:rsidR="00925CB1" w:rsidRPr="001B21F0">
        <w:rPr>
          <w:rFonts w:ascii="Book Antiqua" w:hAnsi="Book Antiqua" w:cs="Times New Roman"/>
          <w:noProof/>
          <w:lang w:val="en-US"/>
        </w:rPr>
        <w:t>, Ernberg, &amp; Landstrom</w:t>
      </w:r>
      <w:r w:rsidRPr="001B21F0">
        <w:rPr>
          <w:rFonts w:ascii="Book Antiqua" w:hAnsi="Book Antiqua" w:cs="Times New Roman"/>
          <w:noProof/>
          <w:lang w:val="en-US"/>
        </w:rPr>
        <w:t>, 2017)</w:t>
      </w:r>
      <w:r w:rsidRPr="001B21F0">
        <w:rPr>
          <w:rFonts w:ascii="Book Antiqua" w:hAnsi="Book Antiqua" w:cs="Times New Roman"/>
          <w:lang w:val="en-US"/>
        </w:rPr>
        <w:fldChar w:fldCharType="end"/>
      </w:r>
      <w:r w:rsidRPr="001B21F0">
        <w:rPr>
          <w:rFonts w:ascii="Book Antiqua" w:hAnsi="Book Antiqua" w:cs="Times New Roman"/>
          <w:lang w:val="en-US"/>
        </w:rPr>
        <w:t xml:space="preserve">. </w:t>
      </w:r>
      <w:r w:rsidR="00BD127C" w:rsidRPr="001B21F0">
        <w:rPr>
          <w:rFonts w:ascii="Book Antiqua" w:hAnsi="Book Antiqua" w:cs="Times New Roman"/>
          <w:lang w:val="en-US"/>
        </w:rPr>
        <w:t xml:space="preserve">In the </w:t>
      </w:r>
      <w:r w:rsidR="00472333" w:rsidRPr="001B21F0">
        <w:rPr>
          <w:rFonts w:ascii="Book Antiqua" w:hAnsi="Book Antiqua" w:cs="Times New Roman"/>
          <w:lang w:val="en-US"/>
        </w:rPr>
        <w:t>aforementioned</w:t>
      </w:r>
      <w:r w:rsidR="00BD127C" w:rsidRPr="001B21F0">
        <w:rPr>
          <w:rFonts w:ascii="Book Antiqua" w:hAnsi="Book Antiqua" w:cs="Times New Roman"/>
          <w:lang w:val="en-US"/>
        </w:rPr>
        <w:t xml:space="preserve"> </w:t>
      </w:r>
      <w:r w:rsidR="00472333" w:rsidRPr="001B21F0">
        <w:rPr>
          <w:rFonts w:ascii="Book Antiqua" w:hAnsi="Book Antiqua" w:cs="Times New Roman"/>
          <w:lang w:val="en-US"/>
        </w:rPr>
        <w:t>case</w:t>
      </w:r>
      <w:r w:rsidR="00BD127C" w:rsidRPr="001B21F0">
        <w:rPr>
          <w:rFonts w:ascii="Book Antiqua" w:hAnsi="Book Antiqua" w:cs="Times New Roman"/>
          <w:lang w:val="en-US"/>
        </w:rPr>
        <w:t>,</w:t>
      </w:r>
      <w:r w:rsidRPr="001B21F0">
        <w:rPr>
          <w:rFonts w:ascii="Book Antiqua" w:hAnsi="Book Antiqua" w:cs="Times New Roman"/>
          <w:lang w:val="en-US"/>
        </w:rPr>
        <w:t xml:space="preserve"> Anthony Hopkins </w:t>
      </w:r>
      <w:r w:rsidR="00BD127C" w:rsidRPr="001B21F0">
        <w:rPr>
          <w:rFonts w:ascii="Book Antiqua" w:hAnsi="Book Antiqua" w:cs="Times New Roman"/>
          <w:lang w:val="en-US"/>
        </w:rPr>
        <w:t xml:space="preserve">justified his grievous actions </w:t>
      </w:r>
      <w:r w:rsidR="00472333" w:rsidRPr="001B21F0">
        <w:rPr>
          <w:rFonts w:ascii="Book Antiqua" w:hAnsi="Book Antiqua" w:cs="Times New Roman"/>
          <w:lang w:val="en-US"/>
        </w:rPr>
        <w:t xml:space="preserve">to </w:t>
      </w:r>
      <w:proofErr w:type="spellStart"/>
      <w:r w:rsidR="00472333" w:rsidRPr="001B21F0">
        <w:rPr>
          <w:rFonts w:ascii="Book Antiqua" w:hAnsi="Book Antiqua" w:cs="Times New Roman"/>
          <w:lang w:val="en-US"/>
        </w:rPr>
        <w:t>Shantelle</w:t>
      </w:r>
      <w:proofErr w:type="spellEnd"/>
      <w:r w:rsidR="00472333" w:rsidRPr="001B21F0">
        <w:rPr>
          <w:rFonts w:ascii="Book Antiqua" w:hAnsi="Book Antiqua" w:cs="Times New Roman"/>
          <w:lang w:val="en-US"/>
        </w:rPr>
        <w:t xml:space="preserve"> </w:t>
      </w:r>
      <w:r w:rsidRPr="001B21F0">
        <w:rPr>
          <w:rFonts w:ascii="Book Antiqua" w:hAnsi="Book Antiqua" w:cs="Times New Roman"/>
          <w:lang w:val="en-US"/>
        </w:rPr>
        <w:t>by referring to biblical scriptures</w:t>
      </w:r>
      <w:r w:rsidR="00472333" w:rsidRPr="001B21F0">
        <w:rPr>
          <w:rFonts w:ascii="Book Antiqua" w:hAnsi="Book Antiqua" w:cs="Times New Roman"/>
          <w:lang w:val="en-US"/>
        </w:rPr>
        <w:t>.</w:t>
      </w:r>
      <w:r w:rsidRPr="001B21F0">
        <w:rPr>
          <w:rFonts w:ascii="Book Antiqua" w:hAnsi="Book Antiqua" w:cs="Times New Roman"/>
          <w:lang w:val="en-US"/>
        </w:rPr>
        <w:t xml:space="preserve"> </w:t>
      </w:r>
      <w:r w:rsidR="008217DE" w:rsidRPr="001B21F0">
        <w:rPr>
          <w:rFonts w:ascii="Book Antiqua" w:hAnsi="Book Antiqua" w:cs="Times New Roman"/>
          <w:lang w:val="en-US"/>
        </w:rPr>
        <w:t>Generally</w:t>
      </w:r>
      <w:r w:rsidRPr="001B21F0">
        <w:rPr>
          <w:rFonts w:ascii="Book Antiqua" w:hAnsi="Book Antiqua" w:cs="Times New Roman"/>
          <w:lang w:val="en-US"/>
        </w:rPr>
        <w:t xml:space="preserve">, sexual perpetrators </w:t>
      </w:r>
      <w:r w:rsidR="00300491" w:rsidRPr="001B21F0">
        <w:rPr>
          <w:rFonts w:ascii="Book Antiqua" w:hAnsi="Book Antiqua" w:cs="Times New Roman"/>
          <w:lang w:val="en-US"/>
        </w:rPr>
        <w:t xml:space="preserve">commonly </w:t>
      </w:r>
      <w:r w:rsidRPr="001B21F0">
        <w:rPr>
          <w:rFonts w:ascii="Book Antiqua" w:hAnsi="Book Antiqua" w:cs="Times New Roman"/>
          <w:lang w:val="en-US"/>
        </w:rPr>
        <w:t xml:space="preserve">groom children to not disclose the abuse either by explicitly asking them to keep the secret or by </w:t>
      </w:r>
      <w:r w:rsidR="004E602B" w:rsidRPr="001B21F0">
        <w:rPr>
          <w:rFonts w:ascii="Book Antiqua" w:hAnsi="Book Antiqua" w:cs="Times New Roman"/>
          <w:lang w:val="en-US"/>
        </w:rPr>
        <w:t>employing</w:t>
      </w:r>
      <w:r w:rsidRPr="001B21F0">
        <w:rPr>
          <w:rFonts w:ascii="Book Antiqua" w:hAnsi="Book Antiqua" w:cs="Times New Roman"/>
          <w:lang w:val="en-US"/>
        </w:rPr>
        <w:t xml:space="preserve"> implicit psychological tactics (e.g., implying co-responsibility for the abuse), both of which have the potential to manipulate victims into compliance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"http://dx.doi.org/10.1037/1076-8971.1.2.429", "ISBN" : "1076-8971; 1939-1528", "ISSN" : "1076-8971, 1076-8971", "abstract" : "The amicus brief in the Kelly Michaels case ignores the risks that abused children will fail to reveal abuse unless direct and sometimes leading questions are asked. Although the brief correctly criticizes previous research for understating the risks that aggressive interviewing practices will lead young children to make false allegations of abuse, it overstates the likelihood that false allegations occur by overlooking the aspects of the Kelly Michaels case and the research it inspired that are unlike the typical abuse case. The author discusses factors that lead abused children to falsely deny abuse and that minimize the likelihood that nonabused children will allege abuse. Interviewers.", "author" : [ { "dropping-particle" : "", "family" : "Lyon", "given" : "T.D", "non-dropping-particle" : "", "parse-names" : false, "suffix" : "" } ], "container-title" : "Psychology, Public Policy, &amp; Law,", "id" : "ITEM-1", "issue" : "February", "issued" : { "date-parts" : [ [ "1995" ] ] }, "page" : "429-437", "title" : "False allegations and false denials in child sexual abuse", "type" : "article-journal", "volume" : "1" }, "uris" : [ "http://www.mendeley.com/documents/?uuid=e366faac-bf2b-4713-871b-68fc1e2c2cf7" ] } ], "mendeley" : { "formattedCitation" : "(Lyon, 1995)", "manualFormatting" : "(Lyon, 1995", "plainTextFormattedCitation" : "(Lyon, 1995)", "previouslyFormattedCitation" : "(Lyon, 1995)"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(Lyon, 1995</w:t>
      </w:r>
      <w:r w:rsidRPr="001B21F0">
        <w:rPr>
          <w:rFonts w:ascii="Book Antiqua" w:hAnsi="Book Antiqua" w:cs="Times New Roman"/>
          <w:lang w:val="en-US"/>
        </w:rPr>
        <w:fldChar w:fldCharType="end"/>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"author" : [ { "dropping-particle" : "", "family" : "Bussey", "given" : "K A Y", "non-dropping-particle" : "", "parse-names" : false, "suffix" : "" } ], "id" : "ITEM-1", "issued" : { "date-parts" : [ [ "1996" ] ] }, "title" : "Allegations of Child Sexual Abuse Accurate and Truthful Disclosures , False", "type" : "article-journal", "volume" : "1" }, "uris" : [ "http://www.mendeley.com/documents/?uuid=e189bcd8-1553-43b2-8776-a2781ba43acc" ] } ], "mendeley" : { "formattedCitation" : "(Bussey, 1996)", "manualFormatting" : "; Bussey, 1996; ", "plainTextFormattedCitation" : "(Bussey, 1996)", "previouslyFormattedCitation" : "(Bussey, 1996)"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 xml:space="preserve">; Bussey, 1995; </w:t>
      </w:r>
      <w:r w:rsidRPr="001B21F0">
        <w:rPr>
          <w:rFonts w:ascii="Book Antiqua" w:hAnsi="Book Antiqua" w:cs="Times New Roman"/>
          <w:lang w:val="en-US"/>
        </w:rPr>
        <w:fldChar w:fldCharType="end"/>
      </w:r>
      <w:r w:rsidRPr="001B21F0">
        <w:rPr>
          <w:rFonts w:ascii="Book Antiqua" w:hAnsi="Book Antiqua" w:cs="Times New Roman"/>
          <w:noProof/>
          <w:lang w:val="en-US"/>
        </w:rPr>
        <w:t>Sjöberg &amp; Lindblad, 2002).</w:t>
      </w:r>
      <w:r w:rsidRPr="001B21F0">
        <w:rPr>
          <w:rFonts w:ascii="Book Antiqua" w:hAnsi="Book Antiqua" w:cs="Times New Roman"/>
          <w:lang w:val="en-US"/>
        </w:rPr>
        <w:t xml:space="preserve"> A child could also refrain from disclosure due to feelings of shame, guilt, </w:t>
      </w:r>
      <w:r w:rsidR="004E602B" w:rsidRPr="001B21F0">
        <w:rPr>
          <w:rFonts w:ascii="Book Antiqua" w:hAnsi="Book Antiqua" w:cs="Times New Roman"/>
          <w:lang w:val="en-US"/>
        </w:rPr>
        <w:t xml:space="preserve">and </w:t>
      </w:r>
      <w:r w:rsidRPr="001B21F0">
        <w:rPr>
          <w:rFonts w:ascii="Book Antiqua" w:hAnsi="Book Antiqua" w:cs="Times New Roman"/>
          <w:lang w:val="en-US"/>
        </w:rPr>
        <w:t>self-blame (</w:t>
      </w:r>
      <w:r w:rsidR="008C4E0B" w:rsidRPr="001B21F0">
        <w:rPr>
          <w:rFonts w:ascii="Book Antiqua" w:hAnsi="Book Antiqua" w:cs="Times New Roman"/>
          <w:noProof/>
          <w:lang w:val="en-US"/>
        </w:rPr>
        <w:t>Goodman-Brown, Edelstein, Goodman, Jones, &amp; Gordon, 2003</w:t>
      </w:r>
      <w:r w:rsidRPr="001B21F0">
        <w:rPr>
          <w:rFonts w:ascii="Book Antiqua" w:hAnsi="Book Antiqua" w:cs="Times New Roman"/>
          <w:lang w:val="en-US"/>
        </w:rPr>
        <w:t>; Schaeffer</w:t>
      </w:r>
      <w:r w:rsidR="008C4E0B" w:rsidRPr="001B21F0">
        <w:rPr>
          <w:rFonts w:ascii="Book Antiqua" w:hAnsi="Book Antiqua" w:cs="Times New Roman"/>
          <w:lang w:val="en-US"/>
        </w:rPr>
        <w:t xml:space="preserve">, Leventhal, &amp; </w:t>
      </w:r>
      <w:proofErr w:type="spellStart"/>
      <w:r w:rsidR="008C4E0B" w:rsidRPr="001B21F0">
        <w:rPr>
          <w:rFonts w:ascii="Book Antiqua" w:hAnsi="Book Antiqua" w:cs="Times New Roman"/>
          <w:lang w:val="en-US"/>
        </w:rPr>
        <w:t>Asnes</w:t>
      </w:r>
      <w:proofErr w:type="spellEnd"/>
      <w:r w:rsidR="008C4E0B" w:rsidRPr="001B21F0">
        <w:rPr>
          <w:rFonts w:ascii="Book Antiqua" w:hAnsi="Book Antiqua" w:cs="Times New Roman"/>
          <w:lang w:val="en-US"/>
        </w:rPr>
        <w:t>, 2011</w:t>
      </w:r>
      <w:r w:rsidRPr="001B21F0">
        <w:rPr>
          <w:rFonts w:ascii="Book Antiqua" w:hAnsi="Book Antiqua" w:cs="Times New Roman"/>
          <w:lang w:val="en-US"/>
        </w:rPr>
        <w:t>).</w:t>
      </w:r>
    </w:p>
    <w:p w14:paraId="698D2DDA" w14:textId="3BD86781" w:rsidR="00D4694C" w:rsidRPr="001B21F0" w:rsidRDefault="00D4694C" w:rsidP="00C41F6B">
      <w:pPr>
        <w:spacing w:after="0" w:line="240" w:lineRule="auto"/>
        <w:ind w:firstLine="284"/>
        <w:jc w:val="both"/>
        <w:rPr>
          <w:rFonts w:ascii="Book Antiqua" w:hAnsi="Book Antiqua" w:cs="Times New Roman"/>
          <w:b/>
          <w:lang w:val="en-US"/>
        </w:rPr>
      </w:pPr>
      <w:r w:rsidRPr="001B21F0">
        <w:rPr>
          <w:rFonts w:ascii="Book Antiqua" w:hAnsi="Book Antiqua" w:cs="Times New Roman"/>
          <w:lang w:val="en-US"/>
        </w:rPr>
        <w:t xml:space="preserve">Reports on disclosure rates in relation to the victims’ age </w:t>
      </w:r>
      <w:r w:rsidR="00300491" w:rsidRPr="001B21F0">
        <w:rPr>
          <w:rFonts w:ascii="Book Antiqua" w:hAnsi="Book Antiqua" w:cs="Times New Roman"/>
          <w:lang w:val="en-US"/>
        </w:rPr>
        <w:t xml:space="preserve">are </w:t>
      </w:r>
      <w:r w:rsidRPr="001B21F0">
        <w:rPr>
          <w:rFonts w:ascii="Book Antiqua" w:hAnsi="Book Antiqua" w:cs="Times New Roman"/>
          <w:lang w:val="en-US"/>
        </w:rPr>
        <w:t>varied</w:t>
      </w:r>
      <w:r w:rsidR="00300491" w:rsidRPr="001B21F0">
        <w:rPr>
          <w:rFonts w:ascii="Book Antiqua" w:hAnsi="Book Antiqua" w:cs="Times New Roman"/>
          <w:lang w:val="en-US"/>
        </w:rPr>
        <w:t>,</w:t>
      </w:r>
      <w:r w:rsidRPr="001B21F0">
        <w:rPr>
          <w:rFonts w:ascii="Book Antiqua" w:hAnsi="Book Antiqua" w:cs="Times New Roman"/>
          <w:lang w:val="en-US"/>
        </w:rPr>
        <w:t xml:space="preserve"> with some studies finding higher rates of disclosure among older</w:t>
      </w:r>
      <w:r w:rsidR="00300491" w:rsidRPr="001B21F0">
        <w:rPr>
          <w:rFonts w:ascii="Book Antiqua" w:hAnsi="Book Antiqua" w:cs="Times New Roman"/>
          <w:lang w:val="en-US"/>
        </w:rPr>
        <w:t xml:space="preserve"> </w:t>
      </w:r>
      <w:r w:rsidRPr="001B21F0">
        <w:rPr>
          <w:rFonts w:ascii="Book Antiqua" w:hAnsi="Book Antiqua" w:cs="Times New Roman"/>
          <w:lang w:val="en-US"/>
        </w:rPr>
        <w:t>children (e.g., 9</w:t>
      </w:r>
      <w:r w:rsidR="004E602B" w:rsidRPr="001B21F0">
        <w:rPr>
          <w:rFonts w:ascii="Book Antiqua" w:hAnsi="Book Antiqua" w:cs="Times New Roman"/>
          <w:lang w:val="en-US"/>
        </w:rPr>
        <w:t>–</w:t>
      </w:r>
      <w:r w:rsidRPr="001B21F0">
        <w:rPr>
          <w:rFonts w:ascii="Book Antiqua" w:hAnsi="Book Antiqua" w:cs="Times New Roman"/>
          <w:lang w:val="en-US"/>
        </w:rPr>
        <w:t>13</w:t>
      </w:r>
      <w:r w:rsidR="004E602B" w:rsidRPr="001B21F0">
        <w:rPr>
          <w:rFonts w:ascii="Book Antiqua" w:hAnsi="Book Antiqua" w:cs="Times New Roman"/>
          <w:lang w:val="en-US"/>
        </w:rPr>
        <w:t>-</w:t>
      </w:r>
      <w:r w:rsidRPr="001B21F0">
        <w:rPr>
          <w:rFonts w:ascii="Book Antiqua" w:hAnsi="Book Antiqua" w:cs="Times New Roman"/>
          <w:lang w:val="en-US"/>
        </w:rPr>
        <w:t>year</w:t>
      </w:r>
      <w:r w:rsidR="004E602B" w:rsidRPr="001B21F0">
        <w:rPr>
          <w:rFonts w:ascii="Book Antiqua" w:hAnsi="Book Antiqua" w:cs="Times New Roman"/>
          <w:lang w:val="en-US"/>
        </w:rPr>
        <w:t>-</w:t>
      </w:r>
      <w:r w:rsidRPr="001B21F0">
        <w:rPr>
          <w:rFonts w:ascii="Book Antiqua" w:hAnsi="Book Antiqua" w:cs="Times New Roman"/>
          <w:lang w:val="en-US"/>
        </w:rPr>
        <w:t xml:space="preserve">olds; Pipe et al., 2007). </w:t>
      </w:r>
      <w:r w:rsidR="004E602B" w:rsidRPr="001B21F0">
        <w:rPr>
          <w:rFonts w:ascii="Book Antiqua" w:hAnsi="Book Antiqua" w:cs="Times New Roman"/>
          <w:lang w:val="en-US"/>
        </w:rPr>
        <w:t>An</w:t>
      </w:r>
      <w:r w:rsidR="008217DE" w:rsidRPr="001B21F0">
        <w:rPr>
          <w:rFonts w:ascii="Book Antiqua" w:hAnsi="Book Antiqua" w:cs="Times New Roman"/>
          <w:lang w:val="en-US"/>
        </w:rPr>
        <w:t xml:space="preserve"> argu</w:t>
      </w:r>
      <w:r w:rsidR="004E602B" w:rsidRPr="001B21F0">
        <w:rPr>
          <w:rFonts w:ascii="Book Antiqua" w:hAnsi="Book Antiqua" w:cs="Times New Roman"/>
          <w:lang w:val="en-US"/>
        </w:rPr>
        <w:t xml:space="preserve">ment that has been made is </w:t>
      </w:r>
      <w:r w:rsidR="008217DE" w:rsidRPr="001B21F0">
        <w:rPr>
          <w:rFonts w:ascii="Book Antiqua" w:hAnsi="Book Antiqua" w:cs="Times New Roman"/>
          <w:lang w:val="en-US"/>
        </w:rPr>
        <w:t xml:space="preserve">that younger victims are more likely to delay or refrain from disclosing </w:t>
      </w:r>
      <w:r w:rsidR="004E602B" w:rsidRPr="001B21F0">
        <w:rPr>
          <w:rFonts w:ascii="Book Antiqua" w:hAnsi="Book Antiqua" w:cs="Times New Roman"/>
          <w:lang w:val="en-US"/>
        </w:rPr>
        <w:t>the</w:t>
      </w:r>
      <w:r w:rsidR="008217DE" w:rsidRPr="001B21F0">
        <w:rPr>
          <w:rFonts w:ascii="Book Antiqua" w:hAnsi="Book Antiqua" w:cs="Times New Roman"/>
          <w:lang w:val="en-US"/>
        </w:rPr>
        <w:t xml:space="preserve"> sexual abuse</w:t>
      </w:r>
      <w:r w:rsidR="004E602B" w:rsidRPr="001B21F0">
        <w:rPr>
          <w:rFonts w:ascii="Book Antiqua" w:hAnsi="Book Antiqua" w:cs="Times New Roman"/>
          <w:lang w:val="en-US"/>
        </w:rPr>
        <w:t xml:space="preserve"> entirely</w:t>
      </w:r>
      <w:r w:rsidR="00303C6C" w:rsidRPr="001B21F0">
        <w:rPr>
          <w:rFonts w:ascii="Book Antiqua" w:hAnsi="Book Antiqua" w:cs="Times New Roman"/>
          <w:lang w:val="en-US"/>
        </w:rPr>
        <w:t xml:space="preserve"> </w:t>
      </w:r>
      <w:r w:rsidR="008217DE" w:rsidRPr="001B21F0">
        <w:rPr>
          <w:rFonts w:ascii="Book Antiqua" w:hAnsi="Book Antiqua" w:cs="Times New Roman"/>
          <w:lang w:val="en-US"/>
        </w:rPr>
        <w:fldChar w:fldCharType="begin" w:fldLock="1"/>
      </w:r>
      <w:r w:rsidR="008217DE" w:rsidRPr="001B21F0">
        <w:rPr>
          <w:rFonts w:ascii="Book Antiqua" w:hAnsi="Book Antiqua" w:cs="Times New Roman"/>
          <w:lang w:val="en-US"/>
        </w:rPr>
        <w:instrText>ADDIN CSL_CITATION { "citationItems" : [ { "id" : "ITEM-1", "itemData" : { "DOI" : "10.1111/j.1651-2227.2002.tb02839.x", "ISSN" : "08035253", "author" : [ { "dropping-particle" : "", "family" : "Sj\u00f6berg", "given" : "RL", "non-dropping-particle" : "", "parse-names" : false, "suffix" : "" }, { "dropping-particle" : "", "family" : "Lindblad", "given" : "F", "non-dropping-particle" : "", "parse-names" : false, "suffix" : "" } ], "container-title" : "Acta Paediatrica", "id" : "ITEM-1", "issue" : "12", "issued" : { "date-parts" : [ [ "2007", "1", "2" ] ] }, "page" : "1391-1396", "title" : "Delayed disclosure and disrupted communication during forensic investigation of child sexual abuse: a study of 47 corroborated cases", "type" : "article-journal", "volume" : "91" }, "uris" : [ "http://www.mendeley.com/documents/?uuid=2e651041-11c5-42dc-9782-ad3c0289bca6" ] } ], "mendeley" : { "formattedCitation" : "(Sj\u00f6berg &amp; Lindblad, 2007)", "manualFormatting" : "( Sj\u00f6berg &amp; Lindblad, 2002; Keary &amp; Fitzpatrick, 1994; Hershkowitz, Horowitz &amp; Lamb, 2005)", "plainTextFormattedCitation" : "(Sj\u00f6berg &amp; Lindblad, 2007)", "previouslyFormattedCitation" : "(Sj\u00f6berg &amp; Lindblad, 2007)" }, "properties" : { "noteIndex" : 0 }, "schema" : "https://github.com/citation-style-language/schema/raw/master/csl-citation.json" }</w:instrText>
      </w:r>
      <w:r w:rsidR="008217DE" w:rsidRPr="001B21F0">
        <w:rPr>
          <w:rFonts w:ascii="Book Antiqua" w:hAnsi="Book Antiqua" w:cs="Times New Roman"/>
          <w:lang w:val="en-US"/>
        </w:rPr>
        <w:fldChar w:fldCharType="separate"/>
      </w:r>
      <w:r w:rsidR="008217DE" w:rsidRPr="001B21F0">
        <w:rPr>
          <w:rFonts w:ascii="Book Antiqua" w:hAnsi="Book Antiqua" w:cs="Times New Roman"/>
          <w:noProof/>
          <w:lang w:val="en-US"/>
        </w:rPr>
        <w:t>(</w:t>
      </w:r>
      <w:r w:rsidR="00303C6C" w:rsidRPr="001B21F0">
        <w:rPr>
          <w:rFonts w:ascii="Book Antiqua" w:hAnsi="Book Antiqua" w:cs="Times New Roman"/>
          <w:noProof/>
          <w:lang w:val="en-US"/>
        </w:rPr>
        <w:t xml:space="preserve"> Hershkowitz, Horowitz, &amp; Lamb, 2005; </w:t>
      </w:r>
      <w:r w:rsidR="008217DE" w:rsidRPr="001B21F0">
        <w:rPr>
          <w:rFonts w:ascii="Book Antiqua" w:hAnsi="Book Antiqua" w:cs="Times New Roman"/>
          <w:noProof/>
          <w:lang w:val="en-US"/>
        </w:rPr>
        <w:t xml:space="preserve">Keary &amp; Fitzpatrick, 1994; </w:t>
      </w:r>
      <w:r w:rsidR="00303C6C" w:rsidRPr="001B21F0">
        <w:rPr>
          <w:rFonts w:ascii="Book Antiqua" w:hAnsi="Book Antiqua" w:cs="Times New Roman"/>
          <w:noProof/>
          <w:lang w:val="en-US"/>
        </w:rPr>
        <w:t xml:space="preserve">Sjöberg &amp; Lindblad, 2002; </w:t>
      </w:r>
      <w:r w:rsidR="008217DE" w:rsidRPr="001B21F0">
        <w:rPr>
          <w:rFonts w:ascii="Book Antiqua" w:hAnsi="Book Antiqua" w:cs="Times New Roman"/>
          <w:noProof/>
          <w:lang w:val="en-US"/>
        </w:rPr>
        <w:t>Wood, Orsak, Murphy, &amp; Cross, 1996)</w:t>
      </w:r>
      <w:r w:rsidR="008217DE" w:rsidRPr="001B21F0">
        <w:rPr>
          <w:rFonts w:ascii="Book Antiqua" w:hAnsi="Book Antiqua" w:cs="Times New Roman"/>
          <w:lang w:val="en-US"/>
        </w:rPr>
        <w:fldChar w:fldCharType="end"/>
      </w:r>
      <w:r w:rsidR="008217DE" w:rsidRPr="001B21F0">
        <w:rPr>
          <w:rFonts w:ascii="Book Antiqua" w:hAnsi="Book Antiqua" w:cs="Times New Roman"/>
          <w:lang w:val="en-US"/>
        </w:rPr>
        <w:t>. One reason for this</w:t>
      </w:r>
      <w:r w:rsidR="004E602B" w:rsidRPr="001B21F0">
        <w:rPr>
          <w:rFonts w:ascii="Book Antiqua" w:hAnsi="Book Antiqua" w:cs="Times New Roman"/>
          <w:lang w:val="en-US"/>
        </w:rPr>
        <w:t xml:space="preserve"> behavior</w:t>
      </w:r>
      <w:r w:rsidR="008217DE" w:rsidRPr="001B21F0">
        <w:rPr>
          <w:rFonts w:ascii="Book Antiqua" w:hAnsi="Book Antiqua" w:cs="Times New Roman"/>
          <w:lang w:val="en-US"/>
        </w:rPr>
        <w:t xml:space="preserve"> is that younger victims may not remember being abused (</w:t>
      </w:r>
      <w:r w:rsidR="007440AB" w:rsidRPr="001B21F0">
        <w:rPr>
          <w:rFonts w:ascii="Book Antiqua" w:hAnsi="Book Antiqua" w:cs="Times New Roman"/>
          <w:noProof/>
          <w:lang w:val="en-US"/>
        </w:rPr>
        <w:t xml:space="preserve">London et al., 2008; </w:t>
      </w:r>
      <w:r w:rsidR="008217DE" w:rsidRPr="001B21F0">
        <w:rPr>
          <w:rFonts w:ascii="Book Antiqua" w:hAnsi="Book Antiqua" w:cs="Times New Roman"/>
          <w:noProof/>
          <w:lang w:val="en-US"/>
        </w:rPr>
        <w:t>Sjöberg &amp; Linblad, 2002).</w:t>
      </w:r>
      <w:r w:rsidR="00CC002B" w:rsidRPr="001B21F0">
        <w:rPr>
          <w:rFonts w:ascii="Book Antiqua" w:hAnsi="Book Antiqua" w:cs="Times New Roman"/>
          <w:lang w:val="en-US"/>
        </w:rPr>
        <w:t xml:space="preserve"> </w:t>
      </w:r>
      <w:r w:rsidR="004E602B" w:rsidRPr="001B21F0">
        <w:rPr>
          <w:rFonts w:ascii="Book Antiqua" w:hAnsi="Book Antiqua" w:cs="Times New Roman"/>
          <w:lang w:val="en-US"/>
        </w:rPr>
        <w:t>By contrast</w:t>
      </w:r>
      <w:r w:rsidR="00CC002B" w:rsidRPr="001B21F0">
        <w:rPr>
          <w:rFonts w:ascii="Book Antiqua" w:hAnsi="Book Antiqua" w:cs="Times New Roman"/>
          <w:lang w:val="en-US"/>
        </w:rPr>
        <w:t xml:space="preserve">, due to </w:t>
      </w:r>
      <w:r w:rsidR="004E602B" w:rsidRPr="001B21F0">
        <w:rPr>
          <w:rFonts w:ascii="Book Antiqua" w:hAnsi="Book Antiqua" w:cs="Times New Roman"/>
          <w:lang w:val="en-US"/>
        </w:rPr>
        <w:t xml:space="preserve">their </w:t>
      </w:r>
      <w:r w:rsidR="00CC002B" w:rsidRPr="001B21F0">
        <w:rPr>
          <w:rFonts w:ascii="Book Antiqua" w:hAnsi="Book Antiqua" w:cs="Times New Roman"/>
          <w:lang w:val="en-US"/>
        </w:rPr>
        <w:t xml:space="preserve">developmental advantages, older children are better able to grasp the significance of their abusive experiences and disclose </w:t>
      </w:r>
      <w:r w:rsidR="004E602B" w:rsidRPr="001B21F0">
        <w:rPr>
          <w:rFonts w:ascii="Book Antiqua" w:hAnsi="Book Antiqua" w:cs="Times New Roman"/>
          <w:lang w:val="en-US"/>
        </w:rPr>
        <w:t xml:space="preserve">them </w:t>
      </w:r>
      <w:r w:rsidR="00CC002B" w:rsidRPr="001B21F0">
        <w:rPr>
          <w:rFonts w:ascii="Book Antiqua" w:hAnsi="Book Antiqua" w:cs="Times New Roman"/>
          <w:lang w:val="en-US"/>
        </w:rPr>
        <w:t>as a result (</w:t>
      </w:r>
      <w:proofErr w:type="spellStart"/>
      <w:r w:rsidRPr="001B21F0">
        <w:rPr>
          <w:rFonts w:ascii="Book Antiqua" w:hAnsi="Book Antiqua" w:cs="Times New Roman"/>
          <w:lang w:val="en-US"/>
        </w:rPr>
        <w:t>Crisma</w:t>
      </w:r>
      <w:proofErr w:type="spellEnd"/>
      <w:r w:rsidRPr="001B21F0">
        <w:rPr>
          <w:rFonts w:ascii="Book Antiqua" w:hAnsi="Book Antiqua" w:cs="Times New Roman"/>
          <w:lang w:val="en-US"/>
        </w:rPr>
        <w:t xml:space="preserve">, </w:t>
      </w:r>
      <w:proofErr w:type="spellStart"/>
      <w:r w:rsidRPr="001B21F0">
        <w:rPr>
          <w:rFonts w:ascii="Book Antiqua" w:hAnsi="Book Antiqua" w:cs="Times New Roman"/>
          <w:lang w:val="en-US"/>
        </w:rPr>
        <w:t>Bascelli</w:t>
      </w:r>
      <w:proofErr w:type="spellEnd"/>
      <w:r w:rsidRPr="001B21F0">
        <w:rPr>
          <w:rFonts w:ascii="Book Antiqua" w:hAnsi="Book Antiqua" w:cs="Times New Roman"/>
          <w:lang w:val="en-US"/>
        </w:rPr>
        <w:t xml:space="preserve">, </w:t>
      </w:r>
      <w:proofErr w:type="spellStart"/>
      <w:r w:rsidRPr="001B21F0">
        <w:rPr>
          <w:rFonts w:ascii="Book Antiqua" w:hAnsi="Book Antiqua" w:cs="Times New Roman"/>
          <w:lang w:val="en-US"/>
        </w:rPr>
        <w:t>Paci</w:t>
      </w:r>
      <w:proofErr w:type="spellEnd"/>
      <w:r w:rsidRPr="001B21F0">
        <w:rPr>
          <w:rFonts w:ascii="Book Antiqua" w:hAnsi="Book Antiqua" w:cs="Times New Roman"/>
          <w:lang w:val="en-US"/>
        </w:rPr>
        <w:t xml:space="preserve">, </w:t>
      </w:r>
      <w:r w:rsidR="00CC002B" w:rsidRPr="001B21F0">
        <w:rPr>
          <w:rFonts w:ascii="Book Antiqua" w:hAnsi="Book Antiqua" w:cs="Times New Roman"/>
          <w:lang w:val="en-US"/>
        </w:rPr>
        <w:t>&amp;</w:t>
      </w:r>
      <w:r w:rsidRPr="001B21F0">
        <w:rPr>
          <w:rFonts w:ascii="Book Antiqua" w:hAnsi="Book Antiqua" w:cs="Times New Roman"/>
          <w:lang w:val="en-US"/>
        </w:rPr>
        <w:t xml:space="preserve"> </w:t>
      </w:r>
      <w:proofErr w:type="spellStart"/>
      <w:r w:rsidRPr="001B21F0">
        <w:rPr>
          <w:rFonts w:ascii="Book Antiqua" w:hAnsi="Book Antiqua" w:cs="Times New Roman"/>
          <w:lang w:val="en-US"/>
        </w:rPr>
        <w:t>Romito</w:t>
      </w:r>
      <w:proofErr w:type="spellEnd"/>
      <w:r w:rsidR="00CC002B" w:rsidRPr="001B21F0">
        <w:rPr>
          <w:rFonts w:ascii="Book Antiqua" w:hAnsi="Book Antiqua" w:cs="Times New Roman"/>
          <w:lang w:val="en-US"/>
        </w:rPr>
        <w:t>,</w:t>
      </w:r>
      <w:r w:rsidRPr="001B21F0">
        <w:rPr>
          <w:rFonts w:ascii="Book Antiqua" w:hAnsi="Book Antiqua" w:cs="Times New Roman"/>
          <w:lang w:val="en-US"/>
        </w:rPr>
        <w:t xml:space="preserve"> 2004)</w:t>
      </w:r>
      <w:r w:rsidR="00CC002B" w:rsidRPr="001B21F0">
        <w:rPr>
          <w:rFonts w:ascii="Book Antiqua" w:hAnsi="Book Antiqua" w:cs="Times New Roman"/>
          <w:lang w:val="en-US"/>
        </w:rPr>
        <w:t>.</w:t>
      </w:r>
      <w:r w:rsidRPr="001B21F0">
        <w:rPr>
          <w:rFonts w:ascii="Book Antiqua" w:hAnsi="Book Antiqua" w:cs="Times New Roman"/>
          <w:lang w:val="en-US"/>
        </w:rPr>
        <w:t xml:space="preserve"> Children who claim to be attracted to or in love with their perpetrator are also prone to delaying disclosure longer than children who did not express such feelings (</w:t>
      </w:r>
      <w:proofErr w:type="spellStart"/>
      <w:r w:rsidRPr="001B21F0">
        <w:rPr>
          <w:rFonts w:ascii="Book Antiqua" w:hAnsi="Book Antiqua" w:cs="Times New Roman"/>
          <w:lang w:val="en-US"/>
        </w:rPr>
        <w:t>Sjöberg</w:t>
      </w:r>
      <w:proofErr w:type="spellEnd"/>
      <w:r w:rsidRPr="001B21F0">
        <w:rPr>
          <w:rFonts w:ascii="Book Antiqua" w:hAnsi="Book Antiqua" w:cs="Times New Roman"/>
          <w:lang w:val="en-US"/>
        </w:rPr>
        <w:t xml:space="preserve"> &amp; Lindblad, 2002). </w:t>
      </w:r>
      <w:r w:rsidR="004E602B" w:rsidRPr="001B21F0">
        <w:rPr>
          <w:rFonts w:ascii="Book Antiqua" w:hAnsi="Book Antiqua" w:cs="Times New Roman"/>
          <w:lang w:val="en-US"/>
        </w:rPr>
        <w:lastRenderedPageBreak/>
        <w:t>In a</w:t>
      </w:r>
      <w:r w:rsidR="00CC002B" w:rsidRPr="001B21F0">
        <w:rPr>
          <w:rFonts w:ascii="Book Antiqua" w:hAnsi="Book Antiqua" w:cs="Times New Roman"/>
          <w:lang w:val="en-US"/>
        </w:rPr>
        <w:t>ddition</w:t>
      </w:r>
      <w:r w:rsidRPr="001B21F0">
        <w:rPr>
          <w:rFonts w:ascii="Book Antiqua" w:hAnsi="Book Antiqua" w:cs="Times New Roman"/>
          <w:lang w:val="en-US"/>
        </w:rPr>
        <w:t xml:space="preserve">, older children, chaotic familial households, poor parental response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"ISBN" : "1719-8429 (Print) 1719-8429 (Linking)", "ISSN" : "1719-8429", "PMID" : "20119565", "abstract" : "OBJECTIVES: Research continues to indicate a concerning number of children and youth, between 60-80%, withhold disclosure until adulthood suggesting that many children endure prolonged victimization or never receive necessary intervention. The study aim was to qualitatively identify factors that impede or promote child sexual abuse (CSA) disclosure.\\n\\nMETHODS: Using a phenomenological design, forty adult survivors of CSA were interviewed about their disclosure experiences to provide retrospective accounts of their childhood and adolescent abuse experiences, disclosure attempts, and meaning-making of these experiences.\\n\\nRESULTS: Findings show that disclosure is multiply determined by a complex interplay of factors related to child characteristics, family environment, community influences, and cultural and societal attitudes. An ecological analysis is offered to understand these complexities. Unless barriers to disclosure are eradicated, negative effects of CSA can persist manifesting in serious mental health issues.\\n\\nCONCLUSIONS: Practitioners can expect to work with children, adolescents and adults who have withheld disclosure or attempted to tell over time having experienced a wide range of responses. Multi-level intervention is recommended at the individual, community and macro-levels. Future investigations should focus on how to identify and measure the impact of community and macro level factors on disclosure, aspects that have received much less attention.", "author" : [ { "dropping-particle" : "", "family" : "Alaggia", "given" : "Ramona", "non-dropping-particle" : "", "parse-names" : false, "suffix" : "" } ], "container-title" : "Journal of the Canadian Academy of Child and Adolescent Psychiatry = Journal de l'Acad\u00e9mie canadienne de psychiatrie de l'enfant et de l'adolescent", "id" : "ITEM-1", "issue" : "1", "issued" : { "date-parts" : [ [ "2010" ] ] }, "page" : "32-9", "title" : "An ecological analysis of child sexual abuse disclosure: considerations for child and adolescent mental health.", "type" : "article-journal", "volume" : "19" }, "uris" : [ "http://www.mendeley.com/documents/?uuid=5ccf5d12-61f4-44c9-be3a-d3bb2094aa36" ] } ], "mendeley" : { "formattedCitation" : "(Ramona Alaggia, 2010)", "manualFormatting" : "(Alaggia, 2010; Alaggia &amp;  Kirshenbaum, 2005)", "plainTextFormattedCitation" : "(Ramona Alaggia, 2010)", "previouslyFormattedCitation" : "(Ramona Alaggia, 2010)"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w:t>
      </w:r>
      <w:r w:rsidR="007440AB" w:rsidRPr="001B21F0">
        <w:rPr>
          <w:rFonts w:ascii="Book Antiqua" w:hAnsi="Book Antiqua" w:cs="Times New Roman"/>
          <w:noProof/>
          <w:lang w:val="en-US"/>
        </w:rPr>
        <w:fldChar w:fldCharType="begin" w:fldLock="1"/>
      </w:r>
      <w:r w:rsidR="007440AB" w:rsidRPr="001B21F0">
        <w:rPr>
          <w:rFonts w:ascii="Book Antiqua" w:hAnsi="Book Antiqua" w:cs="Times New Roman"/>
          <w:noProof/>
          <w:lang w:val="en-US"/>
        </w:rPr>
        <w:instrText>ADDIN CSL_CITATION { "citationItems" : [ { "id" : "ITEM-1", "itemData" : { "abstract" : "This qualitative study utilized the long interview method to identify a range of family dynamics that\\nmay affect a child's ability to disclose sexual abuse. It is estimated that 30% to 80% of victims do not\\npurposefully disclose child sexual abuse (CSA) before adulthood. Retrospective data about disclosure\\nprocesses were elicited through interviews with 20 male and female CSA survivors. Four major themes\\nemerged suggesting that CSA disclosure can be significantly compromised when certain conditions\\nexist: rigidly fixed, gender roles based on a patriarchy-based family structure; family violence; closed,\\nindirect communication patterns; and social isolation. It is important to identify disclosure barriers in\\norder to ameliorate them effectively, because when children are not able to disclose sexual abuse, the\\neffects are potentially devastating. Results are discussed in relation to implications for practice with\\nchildren and their families, including relevance of established models of family assessment.", "author" : [ { "dropping-particle" : "", "family" : "Alaggia", "given" : "R.", "non-dropping-particle" : "", "parse-names" : false, "suffix" : "" }, { "dropping-particle" : "", "family" : "Kirshenbaum", "given" : "S.", "non-dropping-particle" : "", "parse-names" : false, "suffix" : "" } ], "container-title" : "Families in Society", "id" : "ITEM-1", "issue" : "2", "issued" : { "date-parts" : [ [ "2005" ] ] }, "page" : "227-234", "title" : "Speaking the unspeakable: Exploring the impact of family dynamics on child sexual abuse disclosures", "type" : "article-journal", "volume" : "86" }, "uris" : [ "http://www.mendeley.com/documents/?uuid=b3089cf8-490f-4221-a5ae-b63acce5102e" ] } ], "mendeley" : { "formattedCitation" : "(R. Alaggia &amp; Kirshenbaum, 2005)", "manualFormatting" : "Alaggia &amp;  Kirshenbaum, 2005", "plainTextFormattedCitation" : "(R. Alaggia &amp; Kirshenbaum, 2005)", "previouslyFormattedCitation" : "(R. Alaggia &amp; Kirshenbaum, 2005)" }, "properties" : { "noteIndex" : 0 }, "schema" : "https://github.com/citation-style-language/schema/raw/master/csl-citation.json" }</w:instrText>
      </w:r>
      <w:r w:rsidR="007440AB" w:rsidRPr="001B21F0">
        <w:rPr>
          <w:rFonts w:ascii="Book Antiqua" w:hAnsi="Book Antiqua" w:cs="Times New Roman"/>
          <w:noProof/>
          <w:lang w:val="en-US"/>
        </w:rPr>
        <w:fldChar w:fldCharType="separate"/>
      </w:r>
      <w:r w:rsidR="007440AB" w:rsidRPr="001B21F0">
        <w:rPr>
          <w:rFonts w:ascii="Book Antiqua" w:hAnsi="Book Antiqua" w:cs="Times New Roman"/>
          <w:noProof/>
          <w:lang w:val="en-US"/>
        </w:rPr>
        <w:t>Alaggia &amp; Kirshenbaum, 2005</w:t>
      </w:r>
      <w:r w:rsidR="007440AB" w:rsidRPr="001B21F0">
        <w:rPr>
          <w:rFonts w:ascii="Book Antiqua" w:hAnsi="Book Antiqua" w:cs="Times New Roman"/>
          <w:noProof/>
          <w:lang w:val="en-US"/>
        </w:rPr>
        <w:fldChar w:fldCharType="end"/>
      </w:r>
      <w:r w:rsidR="007440AB" w:rsidRPr="001B21F0">
        <w:rPr>
          <w:rFonts w:ascii="Book Antiqua" w:hAnsi="Book Antiqua" w:cs="Times New Roman"/>
          <w:noProof/>
          <w:lang w:val="en-US"/>
        </w:rPr>
        <w:t xml:space="preserve">; </w:t>
      </w:r>
      <w:r w:rsidRPr="001B21F0">
        <w:rPr>
          <w:rFonts w:ascii="Book Antiqua" w:hAnsi="Book Antiqua" w:cs="Times New Roman"/>
          <w:noProof/>
          <w:lang w:val="en-US"/>
        </w:rPr>
        <w:t>Alaggia, 2010</w:t>
      </w:r>
      <w:r w:rsidR="007440AB" w:rsidRPr="001B21F0">
        <w:rPr>
          <w:rFonts w:ascii="Book Antiqua" w:hAnsi="Book Antiqua" w:cs="Times New Roman"/>
          <w:noProof/>
          <w:lang w:val="en-US"/>
        </w:rPr>
        <w:t>)</w:t>
      </w:r>
      <w:r w:rsidRPr="001B21F0">
        <w:rPr>
          <w:rFonts w:ascii="Book Antiqua" w:hAnsi="Book Antiqua" w:cs="Times New Roman"/>
          <w:lang w:val="en-US"/>
        </w:rPr>
        <w:fldChar w:fldCharType="end"/>
      </w:r>
      <w:r w:rsidRPr="001B21F0">
        <w:rPr>
          <w:rFonts w:ascii="Book Antiqua" w:hAnsi="Book Antiqua" w:cs="Times New Roman"/>
          <w:lang w:val="en-US"/>
        </w:rPr>
        <w:t>, intra-familial abuse (versus non-familial), a great sense of perceived responsibility, and fear of negative consequences tend to be associated with long delays in disclosure (</w:t>
      </w:r>
      <w:r w:rsidRPr="001B21F0">
        <w:rPr>
          <w:rFonts w:ascii="Book Antiqua" w:hAnsi="Book Antiqua" w:cs="Times New Roman"/>
          <w:lang w:val="en-US"/>
        </w:rPr>
        <w:fldChar w:fldCharType="begin" w:fldLock="1"/>
      </w:r>
      <w:r w:rsidR="008C4E0B" w:rsidRPr="001B21F0">
        <w:rPr>
          <w:rFonts w:ascii="Book Antiqua" w:hAnsi="Book Antiqua" w:cs="Times New Roman"/>
          <w:lang w:val="en-US"/>
        </w:rPr>
        <w:instrText>ADDIN CSL_CITATION { "citationItems" : [ { "id" : "ITEM-1", "itemData" : { "DOI" : "10.1016/S0145-2134(03)00037-1", "ISSN" : "01452134", "abstract" : "Objective: The present study investigated variables associated with delay of disclosure of child sexual abuse and tested a model of time to disclosure. Method: Data were obtained for 218 alleged child sexual abuse victims whose cases had been referred to District Attorneys\u2019 Offices. Five variables were posited to influence the delay between an abusive event and children\u2019s disclosure of that event to a reporting adult: child\u2019s age, gender, type of abuse experienced (intrafamilial or extrafamilial), perceived responsibility for the abuse, and fear of negative consequences of disclosure. These variables were used to create a model of factors influencing children\u2019s disclosure of sexual abuse. Results: Results indicated that age, type of abuse, fear of negative consequences, and perceived responsibility all contributed to predicting time to disclosure. There was significant support for the model, suggesting that children who were older, came from incestuous families, felt greater responsibility for the abuse, and feared negative consequences of disclosure took longer to disclose. Conclusions: Children\u2019s cognitive appraisal of others\u2019 tolerance of disclosure of child sexual abuse, and their own perceptions of responsibility for the abuse, are crucial to the decision to disclose. When evaluating children for possible sexual abuse, developmental, cognitive, and socio-emotional factors need to be taken into consideration.", "author" : [ { "dropping-particle" : "", "family" : "Goodman-Brown", "given" : "Tina B", "non-dropping-particle" : "", "parse-names" : false, "suffix" : "" }, { "dropping-particle" : "", "family" : "Edelstein", "given" : "Robin S", "non-dropping-particle" : "", "parse-names" : false, "suffix" : "" }, { "dropping-particle" : "", "family" : "Goodman", "given" : "Gail S", "non-dropping-particle" : "", "parse-names" : false, "suffix" : "" }, { "dropping-particle" : "", "family" : "Jones", "given" : "David P.H", "non-dropping-particle" : "", "parse-names" : false, "suffix" : "" }, { "dropping-particle" : "", "family" : "Gordon", "given" : "David S", "non-dropping-particle" : "", "parse-names" : false, "suffix" : "" } ], "container-title" : "Child Abuse &amp; Neglect", "id" : "ITEM-1", "issue" : "5", "issued" : { "date-parts" : [ [ "2003", "5" ] ] }, "page" : "525-540", "title" : "Why children tell: a model of children\u2019s disclosure of sexual abuse", "type" : "article-journal", "volume" : "27" }, "uris" : [ "http://www.mendeley.com/documents/?uuid=b08af947-0756-4e67-a9fe-7b2cc8d774ca" ] } ], "mendeley" : { "formattedCitation" : "(Goodman-Brown et al., 2003)", "manualFormatting" : "Goodman-Brown et al., , Edelstein, Goodman, Jones, &amp; Gordon, 2003; London et al., 2008)", "plainTextFormattedCitation" : "(Goodman-Brown et al., 2003)", "previouslyFormattedCitation" : "(Goodman-Brown et al., 2003)"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Goodman-Brown</w:t>
      </w:r>
      <w:r w:rsidR="008C4E0B" w:rsidRPr="001B21F0">
        <w:rPr>
          <w:rFonts w:ascii="Book Antiqua" w:hAnsi="Book Antiqua" w:cs="Times New Roman"/>
          <w:noProof/>
          <w:lang w:val="en-US"/>
        </w:rPr>
        <w:t xml:space="preserve"> et al</w:t>
      </w:r>
      <w:r w:rsidR="00C06771" w:rsidRPr="001B21F0">
        <w:rPr>
          <w:rFonts w:ascii="Book Antiqua" w:hAnsi="Book Antiqua" w:cs="Times New Roman"/>
          <w:noProof/>
          <w:lang w:val="en-US"/>
        </w:rPr>
        <w:t xml:space="preserve">., </w:t>
      </w:r>
      <w:r w:rsidRPr="001B21F0">
        <w:rPr>
          <w:rFonts w:ascii="Book Antiqua" w:hAnsi="Book Antiqua" w:cs="Times New Roman"/>
          <w:noProof/>
          <w:lang w:val="en-US"/>
        </w:rPr>
        <w:t>2003; London et al., 2008)</w:t>
      </w:r>
      <w:r w:rsidRPr="001B21F0">
        <w:rPr>
          <w:rFonts w:ascii="Book Antiqua" w:hAnsi="Book Antiqua" w:cs="Times New Roman"/>
          <w:lang w:val="en-US"/>
        </w:rPr>
        <w:fldChar w:fldCharType="end"/>
      </w:r>
      <w:r w:rsidRPr="001B21F0">
        <w:rPr>
          <w:rFonts w:ascii="Book Antiqua" w:hAnsi="Book Antiqua" w:cs="Times New Roman"/>
          <w:lang w:val="en-US"/>
        </w:rPr>
        <w:t xml:space="preserve">. </w:t>
      </w:r>
    </w:p>
    <w:p w14:paraId="68250020" w14:textId="6FAAAB3F" w:rsidR="00D4694C" w:rsidRPr="001B21F0" w:rsidRDefault="00434BC4" w:rsidP="00C41F6B">
      <w:pPr>
        <w:spacing w:after="0" w:line="240" w:lineRule="auto"/>
        <w:ind w:firstLine="284"/>
        <w:jc w:val="both"/>
        <w:rPr>
          <w:rFonts w:ascii="Book Antiqua" w:hAnsi="Book Antiqua" w:cs="Times New Roman"/>
          <w:lang w:val="en-US"/>
        </w:rPr>
      </w:pPr>
      <w:r w:rsidRPr="001B21F0">
        <w:rPr>
          <w:rFonts w:ascii="Book Antiqua" w:hAnsi="Book Antiqua" w:cs="Times New Roman"/>
          <w:lang w:val="en-US"/>
        </w:rPr>
        <w:t xml:space="preserve">Along with understanding the </w:t>
      </w:r>
      <w:r w:rsidR="00A519E1" w:rsidRPr="001B21F0">
        <w:rPr>
          <w:rFonts w:ascii="Book Antiqua" w:hAnsi="Book Antiqua" w:cs="Times New Roman"/>
          <w:lang w:val="en-US"/>
        </w:rPr>
        <w:t>obstacles to disclosure,</w:t>
      </w:r>
      <w:r w:rsidR="004E602B" w:rsidRPr="001B21F0">
        <w:rPr>
          <w:rFonts w:ascii="Book Antiqua" w:hAnsi="Book Antiqua" w:cs="Times New Roman"/>
          <w:lang w:val="en-US"/>
        </w:rPr>
        <w:t xml:space="preserve"> noting the </w:t>
      </w:r>
      <w:r w:rsidR="00A519E1" w:rsidRPr="001B21F0">
        <w:rPr>
          <w:rFonts w:ascii="Book Antiqua" w:hAnsi="Book Antiqua" w:cs="Times New Roman"/>
          <w:lang w:val="en-US"/>
        </w:rPr>
        <w:t>factors that facilitate disclosure</w:t>
      </w:r>
      <w:r w:rsidR="004E602B" w:rsidRPr="001B21F0">
        <w:rPr>
          <w:rFonts w:ascii="Book Antiqua" w:hAnsi="Book Antiqua" w:cs="Times New Roman"/>
          <w:lang w:val="en-US"/>
        </w:rPr>
        <w:t xml:space="preserve"> is equally important</w:t>
      </w:r>
      <w:r w:rsidR="00A519E1" w:rsidRPr="001B21F0">
        <w:rPr>
          <w:rFonts w:ascii="Book Antiqua" w:hAnsi="Book Antiqua" w:cs="Times New Roman"/>
          <w:lang w:val="en-US"/>
        </w:rPr>
        <w:t xml:space="preserve">. </w:t>
      </w:r>
      <w:r w:rsidR="00D4694C" w:rsidRPr="001B21F0">
        <w:rPr>
          <w:rFonts w:ascii="Book Antiqua" w:hAnsi="Book Antiqua" w:cs="Times New Roman"/>
          <w:lang w:val="en-US"/>
        </w:rPr>
        <w:t>For instance</w:t>
      </w:r>
      <w:r w:rsidR="00263753" w:rsidRPr="001B21F0">
        <w:rPr>
          <w:rFonts w:ascii="Book Antiqua" w:hAnsi="Book Antiqua" w:cs="Times New Roman"/>
          <w:lang w:val="en-US"/>
        </w:rPr>
        <w:t>,</w:t>
      </w:r>
      <w:r w:rsidR="00D4694C" w:rsidRPr="001B21F0">
        <w:rPr>
          <w:rFonts w:ascii="Book Antiqua" w:hAnsi="Book Antiqua" w:cs="Times New Roman"/>
          <w:lang w:val="en-US"/>
        </w:rPr>
        <w:t xml:space="preserve"> </w:t>
      </w:r>
      <w:r w:rsidR="00D4694C" w:rsidRPr="001B21F0">
        <w:rPr>
          <w:rFonts w:ascii="Book Antiqua" w:hAnsi="Book Antiqua" w:cs="Times New Roman"/>
          <w:lang w:val="en-US"/>
        </w:rPr>
        <w:fldChar w:fldCharType="begin" w:fldLock="1"/>
      </w:r>
      <w:r w:rsidR="00D4694C" w:rsidRPr="001B21F0">
        <w:rPr>
          <w:rFonts w:ascii="Book Antiqua" w:hAnsi="Book Antiqua" w:cs="Times New Roman"/>
          <w:lang w:val="en-US"/>
        </w:rPr>
        <w:instrText>ADDIN CSL_CITATION { "citationItems" : [ { "id" : "ITEM-1", "itemData" : { "DOI" : "10.1300/J070v06n01_09", "ISSN" : "1053-8712", "abstract" : "ABSTRACT The extent and nature of a child's disclosure of sexual abuse is an important component of the medical diagnosis. This study examined the frequency of disclosure of abuse by (he alleged victim, as well as the child, examiner, and case characteristics that might influence disclosure. One goal was to understand how our medical examination protocol might impede or encourage the child to disclose victimization. All records for 179 children who received an examination for sexual abuse during the period from July 1, 1991 through June 30, 1992 were reviewed. Data were abstracted about demographics, interviewer identity, the alleged acts, the alleged perpetrator, and family characteristics. The overall disclosure rate was 47%. Factors associated with child disclosure were child age, siblings in the home, perpetrator other than a biological parent, alleged oral-genital contact or penetration, previous disclosure, and interview conducted by the physician. The factors significant in regression analysis were...", "author" : [ { "dropping-particle" : "", "family" : "DiPietro", "given" : "Elisabeth Kahl", "non-dropping-particle" : "", "parse-names" : false, "suffix" : "" }, { "dropping-particle" : "", "family" : "Runyan", "given" : "Desmond K.", "non-dropping-particle" : "", "parse-names" : false, "suffix" : "" }, { "dropping-particle" : "", "family" : "Fredrickson", "given" : "Doren D.", "non-dropping-particle" : "", "parse-names" : false, "suffix" : "" } ], "container-title" : "Journal of Child Sexual Abuse", "id" : "ITEM-1", "issue" : "1", "issued" : { "date-parts" : [ [ "1997", "7", "22" ] ] }, "language" : "en", "page" : "133-142", "publisher" : "Taylor &amp; Francis Group", "title" : "Predictors of Disclosure During Medical Evaluation for Suspected Sexual Abuse", "type" : "article-journal", "volume" : "6" }, "uris" : [ "http://www.mendeley.com/documents/?uuid=de8c3750-f4dc-40e6-828b-45146ac300d2" ] } ], "mendeley" : { "formattedCitation" : "(DiPietro, Runyan, &amp; Fredrickson, 1997)", "manualFormatting" : "DiPietro, Runyan, and Fredrickson (1997)", "plainTextFormattedCitation" : "(DiPietro, Runyan, &amp; Fredrickson, 1997)", "previouslyFormattedCitation" : "(DiPietro, Runyan, &amp; Fredrickson, 1997)" }, "properties" : { "noteIndex" : 0 }, "schema" : "https://github.com/citation-style-language/schema/raw/master/csl-citation.json" }</w:instrText>
      </w:r>
      <w:r w:rsidR="00D4694C" w:rsidRPr="001B21F0">
        <w:rPr>
          <w:rFonts w:ascii="Book Antiqua" w:hAnsi="Book Antiqua" w:cs="Times New Roman"/>
          <w:lang w:val="en-US"/>
        </w:rPr>
        <w:fldChar w:fldCharType="separate"/>
      </w:r>
      <w:r w:rsidR="00D4694C" w:rsidRPr="001B21F0">
        <w:rPr>
          <w:rFonts w:ascii="Book Antiqua" w:hAnsi="Book Antiqua" w:cs="Times New Roman"/>
          <w:noProof/>
          <w:lang w:val="en-US"/>
        </w:rPr>
        <w:t>DiPietro, Runyan, and Fredrickson (1997)</w:t>
      </w:r>
      <w:r w:rsidR="00D4694C" w:rsidRPr="001B21F0">
        <w:rPr>
          <w:rFonts w:ascii="Book Antiqua" w:hAnsi="Book Antiqua" w:cs="Times New Roman"/>
          <w:lang w:val="en-US"/>
        </w:rPr>
        <w:fldChar w:fldCharType="end"/>
      </w:r>
      <w:r w:rsidR="00D4694C" w:rsidRPr="001B21F0">
        <w:rPr>
          <w:rFonts w:ascii="Book Antiqua" w:hAnsi="Book Antiqua" w:cs="Times New Roman"/>
          <w:lang w:val="en-US"/>
        </w:rPr>
        <w:t xml:space="preserve"> found that after being physically examined</w:t>
      </w:r>
      <w:r w:rsidR="004E602B" w:rsidRPr="001B21F0">
        <w:rPr>
          <w:rFonts w:ascii="Book Antiqua" w:hAnsi="Book Antiqua" w:cs="Times New Roman"/>
          <w:lang w:val="en-US"/>
        </w:rPr>
        <w:t>,</w:t>
      </w:r>
      <w:r w:rsidR="00D4694C" w:rsidRPr="001B21F0">
        <w:rPr>
          <w:rFonts w:ascii="Book Antiqua" w:hAnsi="Book Antiqua" w:cs="Times New Roman"/>
          <w:lang w:val="en-US"/>
        </w:rPr>
        <w:t xml:space="preserve"> children were more inclined to disclose if the clinical interview was conducted by the same physician or nurse who </w:t>
      </w:r>
      <w:r w:rsidR="0041391F" w:rsidRPr="001B21F0">
        <w:rPr>
          <w:rFonts w:ascii="Book Antiqua" w:hAnsi="Book Antiqua" w:cs="Times New Roman"/>
          <w:lang w:val="en-US"/>
        </w:rPr>
        <w:t xml:space="preserve">performed </w:t>
      </w:r>
      <w:r w:rsidR="00D4694C" w:rsidRPr="001B21F0">
        <w:rPr>
          <w:rFonts w:ascii="Book Antiqua" w:hAnsi="Book Antiqua" w:cs="Times New Roman"/>
          <w:lang w:val="en-US"/>
        </w:rPr>
        <w:t xml:space="preserve">their physical examination. In terms of time, conducting interviews soon after disclosure has also been found to be beneficial in facilitating the disclosure process in CSA populations </w:t>
      </w:r>
      <w:r w:rsidR="00D4694C" w:rsidRPr="001B21F0">
        <w:rPr>
          <w:rFonts w:ascii="Book Antiqua" w:hAnsi="Book Antiqua" w:cs="Times New Roman"/>
          <w:lang w:val="en-US"/>
        </w:rPr>
        <w:fldChar w:fldCharType="begin" w:fldLock="1"/>
      </w:r>
      <w:r w:rsidR="00D4694C" w:rsidRPr="001B21F0">
        <w:rPr>
          <w:rFonts w:ascii="Book Antiqua" w:hAnsi="Book Antiqua" w:cs="Times New Roman"/>
          <w:lang w:val="en-US"/>
        </w:rPr>
        <w:instrText>ADDIN CSL_CITATION { "citationItems" : [ { "id" : "ITEM-1", "itemData" : { "abstract" : "This bulletin consolidates the current knowledge of professionals from several major forensic interview training programs on best practices for interviewing children in cases of alleged abuse. The authors discuss the purpose of the child forensic interview, provide historical context, review overall considerations, and outline each stage of the interview in more deta", "author" : [ { "dropping-particle" : "", "family" : "Newlin", "given" : "Chris", "non-dropping-particle" : "", "parse-names" : false, "suffix" : "" }, { "dropping-particle" : "", "family" : "Steele", "given" : "Linda Cordisco", "non-dropping-particle" : "", "parse-names" : false, "suffix" : "" }, { "dropping-particle" : "", "family" : "Chamberlin", "given" : "Andra", "non-dropping-particle" : "", "parse-names" : false, "suffix" : "" }, { "dropping-particle" : "", "family" : "Anderson", "given" : "Jennifer", "non-dropping-particle" : "", "parse-names" : false, "suffix" : "" }, { "dropping-particle" : "", "family" : "Kenniston", "given" : "Julie", "non-dropping-particle" : "", "parse-names" : false, "suffix" : "" }, { "dropping-particle" : "", "family" : "Russell", "given" : "Amy", "non-dropping-particle" : "", "parse-names" : false, "suffix" : "" }, { "dropping-particle" : "", "family" : "Stewart", "given" : "Heather L", "non-dropping-particle" : "", "parse-names" : false, "suffix" : "" }, { "dropping-particle" : "", "family" : "Vaughan-Eden", "given" : "Viola", "non-dropping-particle" : "", "parse-names" : false, "suffix" : "" } ], "container-title" : "Juvenile Justice Bulletin", "id" : "ITEM-1", "issue" : "September", "issued" : { "date-parts" : [ [ "2015" ] ] }, "title" : "Child Forensic Interviewing: Best Practices", "type" : "article-journal" }, "uris" : [ "http://www.mendeley.com/documents/?uuid=3a89618b-77be-4214-bd37-6f3053ff9d6e" ] } ], "mendeley" : { "formattedCitation" : "(Newlin et al., 2015)", "plainTextFormattedCitation" : "(Newlin et al., 2015)", "previouslyFormattedCitation" : "(Newlin et al., 2015)" }, "properties" : { "noteIndex" : 0 }, "schema" : "https://github.com/citation-style-language/schema/raw/master/csl-citation.json" }</w:instrText>
      </w:r>
      <w:r w:rsidR="00D4694C" w:rsidRPr="001B21F0">
        <w:rPr>
          <w:rFonts w:ascii="Book Antiqua" w:hAnsi="Book Antiqua" w:cs="Times New Roman"/>
          <w:lang w:val="en-US"/>
        </w:rPr>
        <w:fldChar w:fldCharType="separate"/>
      </w:r>
      <w:r w:rsidR="00D4694C" w:rsidRPr="001B21F0">
        <w:rPr>
          <w:rFonts w:ascii="Book Antiqua" w:hAnsi="Book Antiqua" w:cs="Times New Roman"/>
          <w:noProof/>
          <w:lang w:val="en-US"/>
        </w:rPr>
        <w:t>(Newlin et al., 2015</w:t>
      </w:r>
      <w:r w:rsidR="008F6423" w:rsidRPr="001B21F0">
        <w:rPr>
          <w:rFonts w:ascii="Book Antiqua" w:hAnsi="Book Antiqua" w:cs="Times New Roman"/>
          <w:noProof/>
          <w:lang w:val="en-US"/>
        </w:rPr>
        <w:t>, p. 6</w:t>
      </w:r>
      <w:r w:rsidR="00D4694C" w:rsidRPr="001B21F0">
        <w:rPr>
          <w:rFonts w:ascii="Book Antiqua" w:hAnsi="Book Antiqua" w:cs="Times New Roman"/>
          <w:noProof/>
          <w:lang w:val="en-US"/>
        </w:rPr>
        <w:t>)</w:t>
      </w:r>
      <w:r w:rsidR="00D4694C" w:rsidRPr="001B21F0">
        <w:rPr>
          <w:rFonts w:ascii="Book Antiqua" w:hAnsi="Book Antiqua" w:cs="Times New Roman"/>
          <w:lang w:val="en-US"/>
        </w:rPr>
        <w:fldChar w:fldCharType="end"/>
      </w:r>
      <w:r w:rsidR="00D4694C" w:rsidRPr="001B21F0">
        <w:rPr>
          <w:rFonts w:ascii="Book Antiqua" w:hAnsi="Book Antiqua" w:cs="Times New Roman"/>
          <w:lang w:val="en-US"/>
        </w:rPr>
        <w:t xml:space="preserve">. </w:t>
      </w:r>
      <w:r w:rsidR="00A519E1" w:rsidRPr="001B21F0">
        <w:rPr>
          <w:rFonts w:ascii="Book Antiqua" w:hAnsi="Book Antiqua" w:cs="Times New Roman"/>
          <w:noProof/>
          <w:lang w:val="en-US"/>
        </w:rPr>
        <w:t>Malloy, Brubacher</w:t>
      </w:r>
      <w:r w:rsidR="0041391F" w:rsidRPr="001B21F0">
        <w:rPr>
          <w:rFonts w:ascii="Book Antiqua" w:hAnsi="Book Antiqua" w:cs="Times New Roman"/>
          <w:noProof/>
          <w:lang w:val="en-US"/>
        </w:rPr>
        <w:t>,</w:t>
      </w:r>
      <w:r w:rsidR="00A519E1" w:rsidRPr="001B21F0">
        <w:rPr>
          <w:rFonts w:ascii="Book Antiqua" w:hAnsi="Book Antiqua" w:cs="Times New Roman"/>
          <w:noProof/>
          <w:lang w:val="en-US"/>
        </w:rPr>
        <w:t xml:space="preserve"> and Lamb (2013) also stated that a less frequently highlighted </w:t>
      </w:r>
      <w:r w:rsidR="00A519E1" w:rsidRPr="001B21F0">
        <w:rPr>
          <w:rFonts w:ascii="Book Antiqua" w:hAnsi="Book Antiqua" w:cs="Times New Roman"/>
          <w:lang w:val="en-US"/>
        </w:rPr>
        <w:t xml:space="preserve">facilitator of disclosure is the desire of the victim to protect another person (e.g., a sibling). The Hopkins case can be referenced as a good example of a victims’ motivation to </w:t>
      </w:r>
      <w:r w:rsidR="00D809B0" w:rsidRPr="001B21F0">
        <w:rPr>
          <w:rFonts w:ascii="Book Antiqua" w:hAnsi="Book Antiqua" w:cs="Times New Roman"/>
          <w:lang w:val="en-US"/>
        </w:rPr>
        <w:t xml:space="preserve">be protective, </w:t>
      </w:r>
      <w:r w:rsidR="0041391F" w:rsidRPr="001B21F0">
        <w:rPr>
          <w:rFonts w:ascii="Book Antiqua" w:hAnsi="Book Antiqua" w:cs="Times New Roman"/>
          <w:lang w:val="en-US"/>
        </w:rPr>
        <w:t>because</w:t>
      </w:r>
      <w:r w:rsidR="005576CE" w:rsidRPr="001B21F0">
        <w:rPr>
          <w:rFonts w:ascii="Book Antiqua" w:hAnsi="Book Antiqua"/>
          <w:lang w:val="en-US"/>
        </w:rPr>
        <w:t xml:space="preserve"> </w:t>
      </w:r>
      <w:proofErr w:type="spellStart"/>
      <w:r w:rsidR="00D4694C" w:rsidRPr="001B21F0">
        <w:rPr>
          <w:rFonts w:ascii="Book Antiqua" w:hAnsi="Book Antiqua" w:cs="Times New Roman"/>
          <w:lang w:val="en-US"/>
        </w:rPr>
        <w:t>Shantelle’s</w:t>
      </w:r>
      <w:proofErr w:type="spellEnd"/>
      <w:r w:rsidR="00D4694C" w:rsidRPr="001B21F0">
        <w:rPr>
          <w:rFonts w:ascii="Book Antiqua" w:hAnsi="Book Antiqua" w:cs="Times New Roman"/>
          <w:lang w:val="en-US"/>
        </w:rPr>
        <w:t xml:space="preserve"> awareness</w:t>
      </w:r>
      <w:r w:rsidR="00F2656B" w:rsidRPr="001B21F0">
        <w:rPr>
          <w:rFonts w:ascii="Book Antiqua" w:hAnsi="Book Antiqua" w:cs="Times New Roman"/>
          <w:lang w:val="en-US"/>
        </w:rPr>
        <w:t xml:space="preserve"> that</w:t>
      </w:r>
      <w:r w:rsidR="00D4694C" w:rsidRPr="001B21F0">
        <w:rPr>
          <w:rFonts w:ascii="Book Antiqua" w:hAnsi="Book Antiqua" w:cs="Times New Roman"/>
          <w:lang w:val="en-US"/>
        </w:rPr>
        <w:t xml:space="preserve"> </w:t>
      </w:r>
      <w:r w:rsidR="00D809B0" w:rsidRPr="001B21F0">
        <w:rPr>
          <w:rFonts w:ascii="Book Antiqua" w:hAnsi="Book Antiqua" w:cs="Times New Roman"/>
          <w:lang w:val="en-US"/>
        </w:rPr>
        <w:t xml:space="preserve">Tasha was also being abused </w:t>
      </w:r>
      <w:r w:rsidR="00300491" w:rsidRPr="001B21F0">
        <w:rPr>
          <w:rFonts w:ascii="Book Antiqua" w:hAnsi="Book Antiqua" w:cs="Times New Roman"/>
          <w:lang w:val="en-US"/>
        </w:rPr>
        <w:t xml:space="preserve">may have partly </w:t>
      </w:r>
      <w:r w:rsidR="00D4694C" w:rsidRPr="001B21F0">
        <w:rPr>
          <w:rFonts w:ascii="Book Antiqua" w:hAnsi="Book Antiqua" w:cs="Times New Roman"/>
          <w:lang w:val="en-US"/>
        </w:rPr>
        <w:t>contributed to her decision to disclose.</w:t>
      </w:r>
    </w:p>
    <w:p w14:paraId="3D956FF9" w14:textId="77777777" w:rsidR="00EF6378" w:rsidRPr="001B21F0" w:rsidRDefault="00EF6378" w:rsidP="00EF6378">
      <w:pPr>
        <w:spacing w:after="0" w:line="240" w:lineRule="auto"/>
        <w:rPr>
          <w:rFonts w:ascii="Book Antiqua" w:hAnsi="Book Antiqua" w:cs="Times New Roman"/>
          <w:b/>
          <w:lang w:val="en-US"/>
        </w:rPr>
      </w:pPr>
    </w:p>
    <w:p w14:paraId="6E82B618" w14:textId="1E94628D" w:rsidR="00D4694C" w:rsidRPr="001B21F0" w:rsidRDefault="00D4694C" w:rsidP="00EF6378">
      <w:pPr>
        <w:spacing w:after="0" w:line="240" w:lineRule="auto"/>
        <w:rPr>
          <w:rFonts w:ascii="Book Antiqua" w:hAnsi="Book Antiqua" w:cs="Times New Roman"/>
          <w:b/>
          <w:lang w:val="en-US"/>
        </w:rPr>
      </w:pPr>
      <w:r w:rsidRPr="001B21F0">
        <w:rPr>
          <w:rFonts w:ascii="Book Antiqua" w:hAnsi="Book Antiqua" w:cs="Times New Roman"/>
          <w:b/>
          <w:lang w:val="en-US"/>
        </w:rPr>
        <w:t>Recanting</w:t>
      </w:r>
    </w:p>
    <w:p w14:paraId="6C1CA68E" w14:textId="77777777" w:rsidR="00EF6378" w:rsidRPr="001B21F0" w:rsidRDefault="00EF6378" w:rsidP="00EF6378">
      <w:pPr>
        <w:spacing w:after="0" w:line="240" w:lineRule="auto"/>
        <w:jc w:val="both"/>
        <w:rPr>
          <w:rFonts w:ascii="Book Antiqua" w:hAnsi="Book Antiqua" w:cs="Times New Roman"/>
          <w:lang w:val="en-US"/>
        </w:rPr>
      </w:pPr>
    </w:p>
    <w:p w14:paraId="2790BB32" w14:textId="244E4BB1" w:rsidR="00D4694C" w:rsidRPr="001B21F0" w:rsidRDefault="00E34ACC" w:rsidP="00EF6378">
      <w:pPr>
        <w:spacing w:after="0" w:line="240" w:lineRule="auto"/>
        <w:jc w:val="both"/>
        <w:rPr>
          <w:rFonts w:ascii="Book Antiqua" w:hAnsi="Book Antiqua" w:cs="Times New Roman"/>
          <w:lang w:val="en-US"/>
        </w:rPr>
      </w:pPr>
      <w:r w:rsidRPr="001B21F0">
        <w:rPr>
          <w:rFonts w:ascii="Book Antiqua" w:hAnsi="Book Antiqua" w:cs="Times New Roman"/>
          <w:lang w:val="en-US"/>
        </w:rPr>
        <w:t xml:space="preserve">Recantation is the revocation of a previous claim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"URL" : "http://www.apadivisions.org/division-41/publications/newsletters/news/2014/03/recantation.aspx", "accessed" : { "date-parts" : [ [ "2016", "10", "31" ] ] }, "author" : [ { "dropping-particle" : "", "family" : "Malloy", "given" : "Lindsay C", "non-dropping-particle" : "", "parse-names" : false, "suffix" : "" }, { "dropping-particle" : "", "family" : "Rivard", "given" : "Jillian", "non-dropping-particle" : "", "parse-names" : false, "suffix" : "" }, { "dropping-particle" : "", "family" : "Mungo", "given" : "Allison P", "non-dropping-particle" : "", "parse-names" : false, "suffix" : "" }, { "dropping-particle" : "", "family" : "Molinaro", "given" : "Peter", "non-dropping-particle" : "", "parse-names" : false, "suffix" : "" } ], "id" : "ITEM-1", "issued" : { "date-parts" : [ [ "2014" ] ] }, "title" : "American Psychology-Law Section, Division 41", "type" : "webpage" }, "uris" : [ "http://www.mendeley.com/documents/?uuid=2486f0ec-10fa-41eb-91d5-bea30c831382" ] } ], "mendeley" : { "formattedCitation" : "(Malloy, Rivard, Mungo, &amp; Molinaro, 2014)", "plainTextFormattedCitation" : "(Malloy, Rivard, Mungo, &amp; Molinaro, 2014)", "previouslyFormattedCitation" : "(Malloy, Rivard, Mungo, &amp; Molinaro, 2014)"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(Malloy, Rivard, Mungo, &amp; Molinaro, 2014)</w:t>
      </w:r>
      <w:r w:rsidRPr="001B21F0">
        <w:rPr>
          <w:rFonts w:ascii="Book Antiqua" w:hAnsi="Book Antiqua" w:cs="Times New Roman"/>
          <w:lang w:val="en-US"/>
        </w:rPr>
        <w:fldChar w:fldCharType="end"/>
      </w:r>
      <w:r w:rsidRPr="001B21F0">
        <w:rPr>
          <w:rFonts w:ascii="Book Antiqua" w:hAnsi="Book Antiqua" w:cs="Times New Roman"/>
          <w:lang w:val="en-US"/>
        </w:rPr>
        <w:t>. The recantation of an authentic CSA disclosure is viewed as a rare occurrence (London et al., 2008)</w:t>
      </w:r>
      <w:r w:rsidR="005576CE" w:rsidRPr="001B21F0">
        <w:rPr>
          <w:rFonts w:ascii="Book Antiqua" w:hAnsi="Book Antiqua" w:cs="Times New Roman"/>
          <w:lang w:val="en-US"/>
        </w:rPr>
        <w:t>.</w:t>
      </w:r>
      <w:r w:rsidRPr="001B21F0">
        <w:rPr>
          <w:rFonts w:ascii="Book Antiqua" w:hAnsi="Book Antiqua" w:cs="Times New Roman"/>
          <w:lang w:val="en-US"/>
        </w:rPr>
        <w:t xml:space="preserve"> </w:t>
      </w:r>
      <w:r w:rsidR="005576CE" w:rsidRPr="001B21F0">
        <w:rPr>
          <w:rFonts w:ascii="Book Antiqua" w:hAnsi="Book Antiqua" w:cs="Times New Roman"/>
          <w:lang w:val="en-US"/>
        </w:rPr>
        <w:t xml:space="preserve">Nevertheless, its </w:t>
      </w:r>
      <w:r w:rsidRPr="001B21F0">
        <w:rPr>
          <w:rFonts w:ascii="Book Antiqua" w:hAnsi="Book Antiqua" w:cs="Times New Roman"/>
          <w:lang w:val="en-US"/>
        </w:rPr>
        <w:t xml:space="preserve">repercussions are incalculable. </w:t>
      </w:r>
      <w:r w:rsidR="004F4A9B" w:rsidRPr="001B21F0">
        <w:rPr>
          <w:rFonts w:ascii="Book Antiqua" w:hAnsi="Book Antiqua" w:cs="Times New Roman"/>
          <w:lang w:val="en-US"/>
        </w:rPr>
        <w:t>When a</w:t>
      </w:r>
      <w:r w:rsidR="00300491" w:rsidRPr="001B21F0">
        <w:rPr>
          <w:rFonts w:ascii="Book Antiqua" w:hAnsi="Book Antiqua" w:cs="Times New Roman"/>
          <w:lang w:val="en-US"/>
        </w:rPr>
        <w:t xml:space="preserve"> victim of</w:t>
      </w:r>
      <w:r w:rsidR="004F4A9B" w:rsidRPr="001B21F0">
        <w:rPr>
          <w:rFonts w:ascii="Book Antiqua" w:hAnsi="Book Antiqua" w:cs="Times New Roman"/>
          <w:lang w:val="en-US"/>
        </w:rPr>
        <w:t xml:space="preserve"> CSA</w:t>
      </w:r>
      <w:r w:rsidR="00300491" w:rsidRPr="001B21F0">
        <w:rPr>
          <w:rFonts w:ascii="Book Antiqua" w:hAnsi="Book Antiqua" w:cs="Times New Roman"/>
          <w:lang w:val="en-US"/>
        </w:rPr>
        <w:t xml:space="preserve"> </w:t>
      </w:r>
      <w:r w:rsidR="004F4A9B" w:rsidRPr="001B21F0">
        <w:rPr>
          <w:rFonts w:ascii="Book Antiqua" w:hAnsi="Book Antiqua" w:cs="Times New Roman"/>
          <w:lang w:val="en-US"/>
        </w:rPr>
        <w:t>recants their claim, the motivating factors behind the recantation may not be considered. As a result, authentic CSA cases may not be investigated properly, leading to further endangerment of victims (Marx, 1996)</w:t>
      </w:r>
      <w:r w:rsidR="00D25DFF" w:rsidRPr="001B21F0">
        <w:rPr>
          <w:rFonts w:ascii="Book Antiqua" w:hAnsi="Book Antiqua" w:cs="Times New Roman"/>
          <w:lang w:val="en-US"/>
        </w:rPr>
        <w:t xml:space="preserve"> and other children</w:t>
      </w:r>
      <w:r w:rsidR="004F4A9B" w:rsidRPr="001B21F0">
        <w:rPr>
          <w:rFonts w:ascii="Book Antiqua" w:hAnsi="Book Antiqua" w:cs="Times New Roman"/>
          <w:lang w:val="en-US"/>
        </w:rPr>
        <w:t xml:space="preserve">. </w:t>
      </w:r>
      <w:r w:rsidR="00EF5A9A" w:rsidRPr="001B21F0">
        <w:rPr>
          <w:rFonts w:ascii="Book Antiqua" w:hAnsi="Book Antiqua" w:cs="Times New Roman"/>
          <w:lang w:val="en-US"/>
        </w:rPr>
        <w:t>From a legal standpoint, prosecutors in</w:t>
      </w:r>
      <w:r w:rsidR="00D63ECE" w:rsidRPr="001B21F0">
        <w:rPr>
          <w:rFonts w:ascii="Book Antiqua" w:hAnsi="Book Antiqua" w:cs="Times New Roman"/>
          <w:lang w:val="en-US"/>
        </w:rPr>
        <w:t>volved in</w:t>
      </w:r>
      <w:r w:rsidR="00EF5A9A" w:rsidRPr="001B21F0">
        <w:rPr>
          <w:rFonts w:ascii="Book Antiqua" w:hAnsi="Book Antiqua" w:cs="Times New Roman"/>
          <w:lang w:val="en-US"/>
        </w:rPr>
        <w:t xml:space="preserve"> CSA cases where victims recant </w:t>
      </w:r>
      <w:r w:rsidR="00651E79" w:rsidRPr="001B21F0">
        <w:rPr>
          <w:rFonts w:ascii="Book Antiqua" w:hAnsi="Book Antiqua" w:cs="Times New Roman"/>
          <w:lang w:val="en-US"/>
        </w:rPr>
        <w:t xml:space="preserve">may </w:t>
      </w:r>
      <w:r w:rsidR="00EF5A9A" w:rsidRPr="001B21F0">
        <w:rPr>
          <w:rFonts w:ascii="Book Antiqua" w:hAnsi="Book Antiqua" w:cs="Times New Roman"/>
          <w:lang w:val="en-US"/>
        </w:rPr>
        <w:t>face the formidable challenge of demystifying the behavior to members of a jury</w:t>
      </w:r>
      <w:r w:rsidR="0014025F" w:rsidRPr="001B21F0">
        <w:rPr>
          <w:rFonts w:ascii="Book Antiqua" w:hAnsi="Book Antiqua" w:cs="Times New Roman"/>
          <w:lang w:val="en-US"/>
        </w:rPr>
        <w:t xml:space="preserve"> (Parga, 2008)</w:t>
      </w:r>
      <w:r w:rsidR="00EF5A9A" w:rsidRPr="001B21F0">
        <w:rPr>
          <w:rFonts w:ascii="Book Antiqua" w:hAnsi="Book Antiqua" w:cs="Times New Roman"/>
          <w:lang w:val="en-US"/>
        </w:rPr>
        <w:t xml:space="preserve">. Bearing these undesirable outcomes </w:t>
      </w:r>
      <w:r w:rsidR="0014025F" w:rsidRPr="001B21F0">
        <w:rPr>
          <w:rFonts w:ascii="Book Antiqua" w:hAnsi="Book Antiqua" w:cs="Times New Roman"/>
          <w:lang w:val="en-US"/>
        </w:rPr>
        <w:t xml:space="preserve">and challenges </w:t>
      </w:r>
      <w:r w:rsidR="00EF5A9A" w:rsidRPr="001B21F0">
        <w:rPr>
          <w:rFonts w:ascii="Book Antiqua" w:hAnsi="Book Antiqua" w:cs="Times New Roman"/>
          <w:lang w:val="en-US"/>
        </w:rPr>
        <w:t>in mind, th</w:t>
      </w:r>
      <w:r w:rsidR="00300491" w:rsidRPr="001B21F0">
        <w:rPr>
          <w:rFonts w:ascii="Book Antiqua" w:hAnsi="Book Antiqua" w:cs="Times New Roman"/>
          <w:lang w:val="en-US"/>
        </w:rPr>
        <w:t xml:space="preserve">e minimal knowledge </w:t>
      </w:r>
      <w:r w:rsidR="00EF5A9A" w:rsidRPr="001B21F0">
        <w:rPr>
          <w:rFonts w:ascii="Book Antiqua" w:hAnsi="Book Antiqua" w:cs="Times New Roman"/>
          <w:lang w:val="en-US"/>
        </w:rPr>
        <w:t>about the cognitive effects of recantations</w:t>
      </w:r>
      <w:r w:rsidR="005576CE" w:rsidRPr="001B21F0">
        <w:rPr>
          <w:rFonts w:ascii="Book Antiqua" w:hAnsi="Book Antiqua" w:cs="Times New Roman"/>
          <w:lang w:val="en-US"/>
        </w:rPr>
        <w:t xml:space="preserve"> is concerning</w:t>
      </w:r>
      <w:r w:rsidR="00EF5A9A" w:rsidRPr="001B21F0">
        <w:rPr>
          <w:rFonts w:ascii="Book Antiqua" w:hAnsi="Book Antiqua" w:cs="Times New Roman"/>
          <w:lang w:val="en-US"/>
        </w:rPr>
        <w:t>. What we do know is that following the disclosure of abuse by</w:t>
      </w:r>
      <w:r w:rsidR="00300491" w:rsidRPr="001B21F0">
        <w:rPr>
          <w:rFonts w:ascii="Book Antiqua" w:hAnsi="Book Antiqua" w:cs="Times New Roman"/>
          <w:lang w:val="en-US"/>
        </w:rPr>
        <w:t xml:space="preserve"> victims of</w:t>
      </w:r>
      <w:r w:rsidR="00127D7B" w:rsidRPr="001B21F0">
        <w:rPr>
          <w:rFonts w:ascii="Book Antiqua" w:hAnsi="Book Antiqua" w:cs="Times New Roman"/>
          <w:lang w:val="en-US"/>
        </w:rPr>
        <w:t xml:space="preserve"> CSA, their </w:t>
      </w:r>
      <w:r w:rsidR="00C4243A" w:rsidRPr="001B21F0">
        <w:rPr>
          <w:rFonts w:ascii="Book Antiqua" w:hAnsi="Book Antiqua" w:cs="Times New Roman"/>
          <w:lang w:val="en-US"/>
        </w:rPr>
        <w:t xml:space="preserve">whole family </w:t>
      </w:r>
      <w:r w:rsidR="00127D7B" w:rsidRPr="001B21F0">
        <w:rPr>
          <w:rFonts w:ascii="Book Antiqua" w:hAnsi="Book Antiqua" w:cs="Times New Roman"/>
          <w:lang w:val="en-US"/>
        </w:rPr>
        <w:t xml:space="preserve">may be subjected to </w:t>
      </w:r>
      <w:r w:rsidR="00C4243A" w:rsidRPr="001B21F0">
        <w:rPr>
          <w:rFonts w:ascii="Book Antiqua" w:hAnsi="Book Antiqua" w:cs="Times New Roman"/>
          <w:lang w:val="en-US"/>
        </w:rPr>
        <w:t xml:space="preserve">scrutiny. </w:t>
      </w:r>
      <w:r w:rsidR="00127D7B" w:rsidRPr="001B21F0">
        <w:rPr>
          <w:rFonts w:ascii="Book Antiqua" w:hAnsi="Book Antiqua" w:cs="Times New Roman"/>
          <w:lang w:val="en-US"/>
        </w:rPr>
        <w:t xml:space="preserve">This negative attention can cause victims to feel </w:t>
      </w:r>
      <w:r w:rsidR="00B33541" w:rsidRPr="001B21F0">
        <w:rPr>
          <w:rFonts w:ascii="Book Antiqua" w:hAnsi="Book Antiqua" w:cs="Times New Roman"/>
          <w:lang w:val="en-US"/>
        </w:rPr>
        <w:t xml:space="preserve">even more </w:t>
      </w:r>
      <w:r w:rsidR="00127D7B" w:rsidRPr="001B21F0">
        <w:rPr>
          <w:rFonts w:ascii="Book Antiqua" w:hAnsi="Book Antiqua" w:cs="Times New Roman"/>
          <w:lang w:val="en-US"/>
        </w:rPr>
        <w:t xml:space="preserve">stressed and pressured </w:t>
      </w:r>
      <w:r w:rsidR="00D4694C" w:rsidRPr="001B21F0">
        <w:rPr>
          <w:rFonts w:ascii="Book Antiqua" w:hAnsi="Book Antiqua" w:cs="Times New Roman"/>
          <w:lang w:val="en-US"/>
        </w:rPr>
        <w:fldChar w:fldCharType="begin" w:fldLock="1"/>
      </w:r>
      <w:r w:rsidR="00D4694C" w:rsidRPr="001B21F0">
        <w:rPr>
          <w:rFonts w:ascii="Book Antiqua" w:hAnsi="Book Antiqua" w:cs="Times New Roman"/>
          <w:lang w:val="en-US"/>
        </w:rPr>
        <w:instrText>ADDIN CSL_CITATION { "citationItems" : [ { "id" : "ITEM-1", "itemData" : { "ISBN" : "10.1080/09638239650037054", "abstract" : "One hundred years ago Freud was struggling with the problem of ascertaining what was truth and fantasy in his patients' accounts of incestuous abuse. Today the issue of recovered memory is again a focus of intense attention and concern. Towards the end of the 1980's, with the increased awareness of the prevalence of child abuse, and also a greater understanding of post-traumatic stress disorders, a new perspective emerged of the trauma-based nature of some severe mental pathologies, such as borderline personality disorders. This shift in understanding was found to have taken a catastrophic turn as it was realised that some memories of child abuse may be pseudo memories. However, allegations and counter allegations of abuse are often so irreconcileable that a common experience of the detached observer is one of confusion. The arguments and evidence of the FMS societies are reviewed here. There is some equivocal evidence for motivated amnesia; cognitive avoidance and dissociation may be better explanatory c...", "author" : [ { "dropping-particle" : "", "family" : "MOLLON", "given" : "PHIL", "non-dropping-particle" : "", "parse-names" : false, "suffix" : "" } ], "container-title" : "Journal of Mental Health", "id" : "ITEM-1", "issued" : { "date-parts" : [ [ "2009", "7", "6" ] ] }, "language" : "en", "publisher" : "Taylor &amp; Francis", "title" : "Incest, false accusations of incest and false denials of incest. Discerning the truth in the debate about recovered memory", "type" : "article-journal" }, "uris" : [ "http://www.mendeley.com/documents/?uuid=9fda0f19-4702-4a00-b336-daf614d7d503" ] } ], "mendeley" : { "formattedCitation" : "(MOLLON, 2009)", "manualFormatting" : "(Mollon, 2009)", "plainTextFormattedCitation" : "(MOLLON, 2009)", "previouslyFormattedCitation" : "(MOLLON, 2009)" }, "properties" : { "noteIndex" : 0 }, "schema" : "https://github.com/citation-style-language/schema/raw/master/csl-citation.json" }</w:instrText>
      </w:r>
      <w:r w:rsidR="00D4694C" w:rsidRPr="001B21F0">
        <w:rPr>
          <w:rFonts w:ascii="Book Antiqua" w:hAnsi="Book Antiqua" w:cs="Times New Roman"/>
          <w:lang w:val="en-US"/>
        </w:rPr>
        <w:fldChar w:fldCharType="separate"/>
      </w:r>
      <w:r w:rsidR="00D4694C" w:rsidRPr="001B21F0">
        <w:rPr>
          <w:rFonts w:ascii="Book Antiqua" w:hAnsi="Book Antiqua" w:cs="Times New Roman"/>
          <w:noProof/>
          <w:lang w:val="en-US"/>
        </w:rPr>
        <w:t>(Mollon, 2009)</w:t>
      </w:r>
      <w:r w:rsidR="00D4694C" w:rsidRPr="001B21F0">
        <w:rPr>
          <w:rFonts w:ascii="Book Antiqua" w:hAnsi="Book Antiqua" w:cs="Times New Roman"/>
          <w:lang w:val="en-US"/>
        </w:rPr>
        <w:fldChar w:fldCharType="end"/>
      </w:r>
      <w:r w:rsidR="00D4694C" w:rsidRPr="001B21F0">
        <w:rPr>
          <w:rFonts w:ascii="Book Antiqua" w:hAnsi="Book Antiqua" w:cs="Times New Roman"/>
          <w:lang w:val="en-US"/>
        </w:rPr>
        <w:t xml:space="preserve">. </w:t>
      </w:r>
      <w:r w:rsidR="005576CE" w:rsidRPr="001B21F0">
        <w:rPr>
          <w:rFonts w:ascii="Book Antiqua" w:hAnsi="Book Antiqua" w:cs="Times New Roman"/>
          <w:lang w:val="en-US"/>
        </w:rPr>
        <w:t xml:space="preserve">As a result, </w:t>
      </w:r>
      <w:r w:rsidR="00D4694C" w:rsidRPr="001B21F0">
        <w:rPr>
          <w:rFonts w:ascii="Book Antiqua" w:hAnsi="Book Antiqua" w:cs="Times New Roman"/>
          <w:lang w:val="en-US"/>
        </w:rPr>
        <w:t xml:space="preserve">some victims </w:t>
      </w:r>
      <w:r w:rsidR="005576CE" w:rsidRPr="001B21F0">
        <w:rPr>
          <w:rFonts w:ascii="Book Antiqua" w:hAnsi="Book Antiqua" w:cs="Times New Roman"/>
          <w:lang w:val="en-US"/>
        </w:rPr>
        <w:t xml:space="preserve">may </w:t>
      </w:r>
      <w:r w:rsidR="00D4694C" w:rsidRPr="001B21F0">
        <w:rPr>
          <w:rFonts w:ascii="Book Antiqua" w:hAnsi="Book Antiqua" w:cs="Times New Roman"/>
          <w:lang w:val="en-US"/>
        </w:rPr>
        <w:t xml:space="preserve">recant their reports of sexual abuse. </w:t>
      </w:r>
      <w:r w:rsidR="00845B1E" w:rsidRPr="001B21F0">
        <w:rPr>
          <w:rFonts w:ascii="Book Antiqua" w:hAnsi="Book Antiqua" w:cs="Times New Roman"/>
          <w:lang w:val="en-US"/>
        </w:rPr>
        <w:t xml:space="preserve">Victims may also hold the belief that the recantation of a disclosure is the only means by which </w:t>
      </w:r>
      <w:proofErr w:type="spellStart"/>
      <w:r w:rsidR="00845B1E" w:rsidRPr="001B21F0">
        <w:rPr>
          <w:rFonts w:ascii="Book Antiqua" w:hAnsi="Book Antiqua" w:cs="Times New Roman"/>
          <w:lang w:val="en-US"/>
        </w:rPr>
        <w:t>interrelational</w:t>
      </w:r>
      <w:proofErr w:type="spellEnd"/>
      <w:r w:rsidR="00845B1E" w:rsidRPr="001B21F0">
        <w:rPr>
          <w:rFonts w:ascii="Book Antiqua" w:hAnsi="Book Antiqua" w:cs="Times New Roman"/>
          <w:lang w:val="en-US"/>
        </w:rPr>
        <w:t xml:space="preserve"> harmony can be restored </w:t>
      </w:r>
      <w:r w:rsidR="00845B1E" w:rsidRPr="001B21F0">
        <w:rPr>
          <w:rFonts w:ascii="Book Antiqua" w:hAnsi="Book Antiqua" w:cs="Times New Roman"/>
          <w:lang w:val="en-US"/>
        </w:rPr>
        <w:fldChar w:fldCharType="begin" w:fldLock="1"/>
      </w:r>
      <w:r w:rsidR="00845B1E" w:rsidRPr="001B21F0">
        <w:rPr>
          <w:rFonts w:ascii="Book Antiqua" w:hAnsi="Book Antiqua" w:cs="Times New Roman"/>
          <w:lang w:val="en-US"/>
        </w:rPr>
        <w:instrText>ADDIN CSL_CITATION { "citationItems" : [ { "id" : "ITEM-1", "itemData" : { "DOI" : "10.1002/car.728", "ISBN" : "0952-9136", "ISSN" : "09529136", "abstract" : "In some cases of alleged sexual abuse, the child or adult retracts allegations made. This poses problems for both civil and criminal legal proceedings. It is argued that the collection and examination of retraction statements often does not receive the same careful attention as is the case with the investigation of the original allegations. Logically, depending on whether the original complaints were true or false or a mixture, so the meaning of a retraction may vary. Where retractions are examined and evaluated with care they may be shown to add to the confidence of the final conclusion rather than simply throwing doubt on that. A systematic approach is described, followed by three cases where such application assisted and paradoxically added to the probative value of earlier statements. Copyright \u00a9 2002 John Wiley &amp; Sons, Ltd. [ABSTRACT FROM AUTHOR]", "author" : [ { "dropping-particle" : "", "family" : "Tully", "given" : "Bryan", "non-dropping-particle" : "", "parse-names" : false, "suffix" : "" } ], "container-title" : "Child Abuse Review", "id" : "ITEM-1", "issue" : "2", "issued" : { "date-parts" : [ [ "2002" ] ] }, "page" : "94-102", "title" : "The evaluation of retractions in sexual abuse cases.", "type" : "article-journal", "volume" : "11" }, "uris" : [ "http://www.mendeley.com/documents/?uuid=eb85bbe9-8597-4eee-b807-70ccee319bb5" ] } ], "mendeley" : { "formattedCitation" : "(Tully, 2002)", "plainTextFormattedCitation" : "(Tully, 2002)", "previouslyFormattedCitation" : "(Tully, 2002)" }, "properties" : { "noteIndex" : 0 }, "schema" : "https://github.com/citation-style-language/schema/raw/master/csl-citation.json" }</w:instrText>
      </w:r>
      <w:r w:rsidR="00845B1E" w:rsidRPr="001B21F0">
        <w:rPr>
          <w:rFonts w:ascii="Book Antiqua" w:hAnsi="Book Antiqua" w:cs="Times New Roman"/>
          <w:lang w:val="en-US"/>
        </w:rPr>
        <w:fldChar w:fldCharType="separate"/>
      </w:r>
      <w:r w:rsidR="00845B1E" w:rsidRPr="001B21F0">
        <w:rPr>
          <w:rFonts w:ascii="Book Antiqua" w:hAnsi="Book Antiqua" w:cs="Times New Roman"/>
          <w:noProof/>
          <w:lang w:val="en-US"/>
        </w:rPr>
        <w:t>(Tully, 2002)</w:t>
      </w:r>
      <w:r w:rsidR="00845B1E" w:rsidRPr="001B21F0">
        <w:rPr>
          <w:rFonts w:ascii="Book Antiqua" w:hAnsi="Book Antiqua" w:cs="Times New Roman"/>
          <w:lang w:val="en-US"/>
        </w:rPr>
        <w:fldChar w:fldCharType="end"/>
      </w:r>
      <w:r w:rsidR="00845B1E" w:rsidRPr="001B21F0">
        <w:rPr>
          <w:rFonts w:ascii="Book Antiqua" w:hAnsi="Book Antiqua" w:cs="Times New Roman"/>
          <w:lang w:val="en-US"/>
        </w:rPr>
        <w:t xml:space="preserve">. Recantations can also be representative of a need to </w:t>
      </w:r>
      <w:r w:rsidR="00D4694C" w:rsidRPr="001B21F0">
        <w:rPr>
          <w:rFonts w:ascii="Book Antiqua" w:hAnsi="Book Antiqua" w:cs="Times New Roman"/>
          <w:lang w:val="en-US"/>
        </w:rPr>
        <w:t xml:space="preserve">control the emotional and psychological turmoil that arises </w:t>
      </w:r>
      <w:r w:rsidR="00300491" w:rsidRPr="001B21F0">
        <w:rPr>
          <w:rFonts w:ascii="Book Antiqua" w:hAnsi="Book Antiqua" w:cs="Times New Roman"/>
          <w:lang w:val="en-US"/>
        </w:rPr>
        <w:t>after</w:t>
      </w:r>
      <w:r w:rsidR="00D4694C" w:rsidRPr="001B21F0">
        <w:rPr>
          <w:rFonts w:ascii="Book Antiqua" w:hAnsi="Book Antiqua" w:cs="Times New Roman"/>
          <w:lang w:val="en-US"/>
        </w:rPr>
        <w:t xml:space="preserve"> disclosing the sexual abuse. Some children go as far as dismissing previous claims of abuse by reframing them as dreams, while others say that they lied </w:t>
      </w:r>
      <w:r w:rsidR="00D4694C" w:rsidRPr="001B21F0">
        <w:rPr>
          <w:rFonts w:ascii="Book Antiqua" w:hAnsi="Book Antiqua" w:cs="Times New Roman"/>
          <w:lang w:val="en-US"/>
        </w:rPr>
        <w:fldChar w:fldCharType="begin" w:fldLock="1"/>
      </w:r>
      <w:r w:rsidR="00D4694C" w:rsidRPr="001B21F0">
        <w:rPr>
          <w:rFonts w:ascii="Book Antiqua" w:hAnsi="Book Antiqua" w:cs="Times New Roman"/>
          <w:lang w:val="en-US"/>
        </w:rPr>
        <w:instrText>ADDIN CSL_CITATION { "citationItems" : [ { "id" : "ITEM-1", "itemData" : { "ISSN" : "0009-4021", "PMID" : "1769245", "abstract" : "This article pulls together coherently a rather sparse literature on children's not infrequent retraction of their earlier disclosure of having been sexually abused. Evidence to date indicates that very few originally lied. The pressures and circumstances that underlie recantation are multiple, and suggestions are made for mitigating them.", "author" : [ { "dropping-particle" : "", "family" : "Rieser", "given" : "M", "non-dropping-particle" : "", "parse-names" : false, "suffix" : "" } ], "container-title" : "Child welfare", "id" : "ITEM-1", "issue" : "6", "issued" : { "date-parts" : [ [ "0" ] ] }, "page" : "611-21", "title" : "Recantation in child sexual abuse cases.", "type" : "article-journal", "volume" : "70" }, "uris" : [ "http://www.mendeley.com/documents/?uuid=ead84850-1883-4fbd-b762-060a364d39db" ] } ], "mendeley" : { "formattedCitation" : "(Rieser, n.d.)", "manualFormatting" : "(Rieser, 1991; Elliott &amp; Briere, 1994)", "plainTextFormattedCitation" : "(Rieser, n.d.)", "previouslyFormattedCitation" : "(Rieser, n.d.)" }, "properties" : { "noteIndex" : 0 }, "schema" : "https://github.com/citation-style-language/schema/raw/master/csl-citation.json" }</w:instrText>
      </w:r>
      <w:r w:rsidR="00D4694C" w:rsidRPr="001B21F0">
        <w:rPr>
          <w:rFonts w:ascii="Book Antiqua" w:hAnsi="Book Antiqua" w:cs="Times New Roman"/>
          <w:lang w:val="en-US"/>
        </w:rPr>
        <w:fldChar w:fldCharType="separate"/>
      </w:r>
      <w:r w:rsidR="00D4694C" w:rsidRPr="001B21F0">
        <w:rPr>
          <w:rFonts w:ascii="Book Antiqua" w:hAnsi="Book Antiqua" w:cs="Times New Roman"/>
          <w:noProof/>
          <w:lang w:val="en-US"/>
        </w:rPr>
        <w:t>(</w:t>
      </w:r>
      <w:r w:rsidR="00D4694C" w:rsidRPr="001B21F0">
        <w:rPr>
          <w:rFonts w:ascii="Book Antiqua" w:hAnsi="Book Antiqua" w:cs="Times New Roman"/>
          <w:noProof/>
          <w:lang w:val="en-US"/>
        </w:rPr>
        <w:fldChar w:fldCharType="begin" w:fldLock="1"/>
      </w:r>
      <w:r w:rsidR="00D4694C" w:rsidRPr="001B21F0">
        <w:rPr>
          <w:rFonts w:ascii="Book Antiqua" w:hAnsi="Book Antiqua" w:cs="Times New Roman"/>
          <w:noProof/>
          <w:lang w:val="en-US"/>
        </w:rPr>
        <w:instrText>ADDIN CSL_CITATION { "citationItems" : [ { "id" : "ITEM-1", "itemData" : { "DOI" : "10.1002/bsl.2370120306", "ISBN" : "0735-3936", "ISSN" : "10990798", "abstract" : "This study examines the results of forensic evaluations of 399 children between the ages of 8 and 15 who were seen at an urban evaluation center regarding allegations of sexual abuse. Data collected included demographic, family environment, and abuse variables, outcome of a multidisciplinary forensic evaluation, and psychological distress as measured by the Trauma Symptom Checklist for Children (TSCC; Briere, in press). Children were grouped according to the outcome of the evaluation: nonabused, abused-disclosing, and abused-nondisclosing (composed of children for whom there was external evidence of abuse but who denied being abused). A number of variables predicted group membership, including subject race, sex, cognitive delays, mother's belief or disbelief in the allegation, and psychological distress. Sexually abused children who disclosed abuse reported particularly high levels of distress, abused but nondisclosing children reported the lowest levels, and nonabused children reported intermediate symptom levels. The data are discussed in terms of the role of denial, maternal support, and symptomatology in forensic evaluations.", "author" : [ { "dropping-particle" : "", "family" : "Elliott", "given" : "Diana M.", "non-dropping-particle" : "", "parse-names" : false, "suffix" : "" }, { "dropping-particle" : "", "family" : "Briere", "given" : "John", "non-dropping-particle" : "", "parse-names" : false, "suffix" : "" } ], "container-title" : "Behavioral Sciences &amp; the Law", "id" : "ITEM-1", "issue" : "3", "issued" : { "date-parts" : [ [ "1994" ] ] }, "page" : "261-277", "title" : "Forensic sexual abuse evaluations of older children: Disclosures and symptomatology", "type" : "article-journal", "volume" : "12" }, "uris" : [ "http://www.mendeley.com/documents/?uuid=e6b3d03e-f28b-4c8a-98d4-9dc103d90bac" ] } ], "mendeley" : { "formattedCitation" : "(D. M. Elliott &amp; Briere, 1994)", "manualFormatting" : "Elliott &amp; Briere, 1994)", "plainTextFormattedCitation" : "(D. M. Elliott &amp; Briere, 1994)", "previouslyFormattedCitation" : "(D. M. Elliott &amp; Briere, 1994)" }, "properties" : { "noteIndex" : 0 }, "schema" : "https://github.com/citation-style-language/schema/raw/master/csl-citation.json" }</w:instrText>
      </w:r>
      <w:r w:rsidR="00D4694C" w:rsidRPr="001B21F0">
        <w:rPr>
          <w:rFonts w:ascii="Book Antiqua" w:hAnsi="Book Antiqua" w:cs="Times New Roman"/>
          <w:noProof/>
          <w:lang w:val="en-US"/>
        </w:rPr>
        <w:fldChar w:fldCharType="separate"/>
      </w:r>
      <w:r w:rsidR="00D4694C" w:rsidRPr="001B21F0">
        <w:rPr>
          <w:rFonts w:ascii="Book Antiqua" w:hAnsi="Book Antiqua" w:cs="Times New Roman"/>
          <w:noProof/>
          <w:lang w:val="en-US"/>
        </w:rPr>
        <w:t>Elliott &amp; Briere, 1994)</w:t>
      </w:r>
      <w:r w:rsidR="00D4694C" w:rsidRPr="001B21F0">
        <w:rPr>
          <w:rFonts w:ascii="Book Antiqua" w:hAnsi="Book Antiqua" w:cs="Times New Roman"/>
          <w:noProof/>
          <w:lang w:val="en-US"/>
        </w:rPr>
        <w:fldChar w:fldCharType="end"/>
      </w:r>
      <w:r w:rsidR="00D4694C" w:rsidRPr="001B21F0">
        <w:rPr>
          <w:rFonts w:ascii="Book Antiqua" w:hAnsi="Book Antiqua" w:cs="Times New Roman"/>
          <w:lang w:val="en-US"/>
        </w:rPr>
        <w:fldChar w:fldCharType="end"/>
      </w:r>
      <w:r w:rsidR="00D4694C" w:rsidRPr="001B21F0">
        <w:rPr>
          <w:rFonts w:ascii="Book Antiqua" w:hAnsi="Book Antiqua" w:cs="Times New Roman"/>
          <w:lang w:val="en-US"/>
        </w:rPr>
        <w:t xml:space="preserve">. Victims may even recant with the hope of hampering the </w:t>
      </w:r>
      <w:r w:rsidR="00300491" w:rsidRPr="001B21F0">
        <w:rPr>
          <w:rFonts w:ascii="Book Antiqua" w:hAnsi="Book Antiqua" w:cs="Times New Roman"/>
          <w:lang w:val="en-US"/>
        </w:rPr>
        <w:t xml:space="preserve">investigation </w:t>
      </w:r>
      <w:r w:rsidR="00D4694C" w:rsidRPr="001B21F0">
        <w:rPr>
          <w:rFonts w:ascii="Book Antiqua" w:hAnsi="Book Antiqua" w:cs="Times New Roman"/>
          <w:lang w:val="en-US"/>
        </w:rPr>
        <w:t>process into their assault</w:t>
      </w:r>
      <w:r w:rsidR="005576CE" w:rsidRPr="001B21F0">
        <w:rPr>
          <w:rFonts w:ascii="Book Antiqua" w:hAnsi="Book Antiqua" w:cs="Times New Roman"/>
          <w:lang w:val="en-US"/>
        </w:rPr>
        <w:t>,</w:t>
      </w:r>
      <w:r w:rsidR="00D4694C" w:rsidRPr="001B21F0">
        <w:rPr>
          <w:rFonts w:ascii="Book Antiqua" w:hAnsi="Book Antiqua" w:cs="Times New Roman"/>
          <w:lang w:val="en-US"/>
        </w:rPr>
        <w:t xml:space="preserve"> and in this regard</w:t>
      </w:r>
      <w:r w:rsidR="005576CE" w:rsidRPr="001B21F0">
        <w:rPr>
          <w:rFonts w:ascii="Book Antiqua" w:hAnsi="Book Antiqua" w:cs="Times New Roman"/>
          <w:lang w:val="en-US"/>
        </w:rPr>
        <w:t>,</w:t>
      </w:r>
      <w:r w:rsidR="00D4694C" w:rsidRPr="001B21F0">
        <w:rPr>
          <w:rFonts w:ascii="Book Antiqua" w:hAnsi="Book Antiqua" w:cs="Times New Roman"/>
          <w:lang w:val="en-US"/>
        </w:rPr>
        <w:t xml:space="preserve"> it is still a poorly understood phenomenon </w:t>
      </w:r>
      <w:r w:rsidR="00D4694C" w:rsidRPr="001B21F0">
        <w:rPr>
          <w:rFonts w:ascii="Book Antiqua" w:hAnsi="Book Antiqua" w:cs="Times New Roman"/>
          <w:lang w:val="en-US"/>
        </w:rPr>
        <w:fldChar w:fldCharType="begin" w:fldLock="1"/>
      </w:r>
      <w:r w:rsidR="00D4694C" w:rsidRPr="001B21F0">
        <w:rPr>
          <w:rFonts w:ascii="Book Antiqua" w:hAnsi="Book Antiqua" w:cs="Times New Roman"/>
          <w:lang w:val="en-US"/>
        </w:rPr>
        <w:instrText>ADDIN CSL_CITATION { "citationItems" : [ { "id" : "ITEM-1", "itemData" : { "DOI" : "10.1097/01.chi.0000246067.77953.f7", "ISSN" : "0890-8567", "PMID" : "17242619", "abstract" : "OBJECTIVE: Controversy abounds regarding the process by which child sexual abuse victims disclose their experiences, particularly the extent to which and the reasons why some children, once having disclosed abuse, later recant their allegations. This study examined the prevalence and predictors of recantation among 2- to 17-year-old child sexual abuse victims.\n\nMETHOD: Case files (n = 257) were randomly selected from all substantiated cases resulting in a dependency court filing in a large urban county between 1999 and 2000. Recantation (i.e., denial of abuse postdisclosure) was scored across formal and informal interviews. Cases were also coded for characteristics of the child, family, and abuse.\n\nRESULTS: A 23.1% recantation rate was observed. Multivariate analyses supported a filial dependency model of recantation, whereby abuse victims who were more vulnerable to familial adult influences (i.e., younger children, those abused by a parent figure and who lacked support from the nonoffending caregiver) were more likely to recant. An alternative hypothesis, that recantations resulted from potential inclusion of cases involving false allegations, was not supported.\n\nCONCLUSION: Results provide new insight into the process by which children reveal interpersonal trauma and have implications for debates concerning the credibility of child sexual abuse allegations and treatment in dependency samples.", "author" : [ { "dropping-particle" : "", "family" : "Malloy", "given" : "Lindsay C", "non-dropping-particle" : "", "parse-names" : false, "suffix" : "" }, { "dropping-particle" : "", "family" : "Lyon", "given" : "Thomas D", "non-dropping-particle" : "", "parse-names" : false, "suffix" : "" }, { "dropping-particle" : "", "family" : "Quas", "given" : "Jodi A", "non-dropping-particle" : "", "parse-names" : false, "suffix" : "" } ], "container-title" : "Journal of the American Academy of Child and Adolescent Psychiatry", "id" : "ITEM-1", "issue" : "2", "issued" : { "date-parts" : [ [ "2007", "2" ] ] }, "page" : "162-70", "title" : "Filial dependency and recantation of child sexual abuse allegations.", "type" : "article-journal", "volume" : "46" }, "uris" : [ "http://www.mendeley.com/documents/?uuid=518b67de-99fa-4022-a869-f58bcd4aebd6" ] } ], "mendeley" : { "formattedCitation" : "(Malloy, Lyon, &amp; Quas, 2007)", "plainTextFormattedCitation" : "(Malloy, Lyon, &amp; Quas, 2007)", "previouslyFormattedCitation" : "(Malloy, Lyon, &amp; Quas, 2007)" }, "properties" : { "noteIndex" : 0 }, "schema" : "https://github.com/citation-style-language/schema/raw/master/csl-citation.json" }</w:instrText>
      </w:r>
      <w:r w:rsidR="00D4694C" w:rsidRPr="001B21F0">
        <w:rPr>
          <w:rFonts w:ascii="Book Antiqua" w:hAnsi="Book Antiqua" w:cs="Times New Roman"/>
          <w:lang w:val="en-US"/>
        </w:rPr>
        <w:fldChar w:fldCharType="separate"/>
      </w:r>
      <w:r w:rsidR="00D4694C" w:rsidRPr="001B21F0">
        <w:rPr>
          <w:rFonts w:ascii="Book Antiqua" w:hAnsi="Book Antiqua" w:cs="Times New Roman"/>
          <w:noProof/>
          <w:lang w:val="en-US"/>
        </w:rPr>
        <w:t>(Malloy, Lyon, &amp; Quas, 2007)</w:t>
      </w:r>
      <w:r w:rsidR="00D4694C" w:rsidRPr="001B21F0">
        <w:rPr>
          <w:rFonts w:ascii="Book Antiqua" w:hAnsi="Book Antiqua" w:cs="Times New Roman"/>
          <w:lang w:val="en-US"/>
        </w:rPr>
        <w:fldChar w:fldCharType="end"/>
      </w:r>
      <w:r w:rsidR="00D4694C" w:rsidRPr="001B21F0">
        <w:rPr>
          <w:rFonts w:ascii="Book Antiqua" w:hAnsi="Book Antiqua" w:cs="Times New Roman"/>
          <w:lang w:val="en-US"/>
        </w:rPr>
        <w:t>. Social influences, such as pressure by the perpetrator, police involvement</w:t>
      </w:r>
      <w:r w:rsidR="005576CE" w:rsidRPr="001B21F0">
        <w:rPr>
          <w:rFonts w:ascii="Book Antiqua" w:hAnsi="Book Antiqua" w:cs="Times New Roman"/>
          <w:lang w:val="en-US"/>
        </w:rPr>
        <w:t>,</w:t>
      </w:r>
      <w:r w:rsidR="00D4694C" w:rsidRPr="001B21F0">
        <w:rPr>
          <w:rFonts w:ascii="Book Antiqua" w:hAnsi="Book Antiqua" w:cs="Times New Roman"/>
          <w:lang w:val="en-US"/>
        </w:rPr>
        <w:t xml:space="preserve"> and judicial proceedings</w:t>
      </w:r>
      <w:r w:rsidR="005576CE" w:rsidRPr="001B21F0">
        <w:rPr>
          <w:rFonts w:ascii="Book Antiqua" w:hAnsi="Book Antiqua" w:cs="Times New Roman"/>
          <w:lang w:val="en-US"/>
        </w:rPr>
        <w:t>,</w:t>
      </w:r>
      <w:r w:rsidR="00D4694C" w:rsidRPr="001B21F0">
        <w:rPr>
          <w:rFonts w:ascii="Book Antiqua" w:hAnsi="Book Antiqua" w:cs="Times New Roman"/>
          <w:lang w:val="en-US"/>
        </w:rPr>
        <w:t xml:space="preserve"> can also spur on recantations </w:t>
      </w:r>
      <w:r w:rsidR="00D4694C" w:rsidRPr="001B21F0">
        <w:rPr>
          <w:rFonts w:ascii="Book Antiqua" w:hAnsi="Book Antiqua" w:cs="Times New Roman"/>
          <w:lang w:val="en-US"/>
        </w:rPr>
        <w:fldChar w:fldCharType="begin" w:fldLock="1"/>
      </w:r>
      <w:r w:rsidR="00D4694C" w:rsidRPr="001B21F0">
        <w:rPr>
          <w:rFonts w:ascii="Book Antiqua" w:hAnsi="Book Antiqua" w:cs="Times New Roman"/>
          <w:lang w:val="en-US"/>
        </w:rPr>
        <w:instrText>ADDIN CSL_CITATION { "citationItems" : [ { "id" : "ITEM-1", "itemData" : { "ISBN" : "0009-4021", "ISSN" : "00094021", "PMID" : "1997290", "abstract" : "In an analysis of the disclosure by a large number of children from three to 17 years of age of having been sexually abused, and who were eventually confirmed as credible victims, the large majority at first denied the abuse. The authors describe disclosure as a process with definable phases and characteristics--seldom the single entity that typical investigations consider disclosure to be, thereby setting the stage for ensuring injustices and harm to the children.", "author" : [ { "dropping-particle" : "", "family" : "Sorensen", "given" : "T.", "non-dropping-particle" : "", "parse-names" : false, "suffix" : "" }, { "dropping-particle" : "", "family" : "Snow", "given" : "B.", "non-dropping-particle" : "", "parse-names" : false, "suffix" : "" } ], "container-title" : "Child welfare", "id" : "ITEM-1", "issue" : "1", "issued" : { "date-parts" : [ [ "1991" ] ] }, "page" : "3-15", "title" : "How children tell: the process of disclosure in child sexual abuse.", "type" : "article-journal", "volume" : "70" }, "uris" : [ "http://www.mendeley.com/documents/?uuid=53a9bf5c-d2d7-4e93-9c3f-91e4aa448090" ] } ], "mendeley" : { "formattedCitation" : "(Sorensen &amp; Snow, 1991)", "manualFormatting" : "(Sorensen &amp; Snow, 1991", "plainTextFormattedCitation" : "(Sorensen &amp; Snow, 1991)", "previouslyFormattedCitation" : "(Sorensen &amp; Snow, 1991)" }, "properties" : { "noteIndex" : 0 }, "schema" : "https://github.com/citation-style-language/schema/raw/master/csl-citation.json" }</w:instrText>
      </w:r>
      <w:r w:rsidR="00D4694C" w:rsidRPr="001B21F0">
        <w:rPr>
          <w:rFonts w:ascii="Book Antiqua" w:hAnsi="Book Antiqua" w:cs="Times New Roman"/>
          <w:lang w:val="en-US"/>
        </w:rPr>
        <w:fldChar w:fldCharType="separate"/>
      </w:r>
      <w:r w:rsidR="00D4694C" w:rsidRPr="001B21F0">
        <w:rPr>
          <w:rFonts w:ascii="Book Antiqua" w:hAnsi="Book Antiqua" w:cs="Times New Roman"/>
          <w:noProof/>
          <w:lang w:val="en-US"/>
        </w:rPr>
        <w:t>(</w:t>
      </w:r>
      <w:r w:rsidR="00140E1C" w:rsidRPr="001B21F0">
        <w:rPr>
          <w:rFonts w:ascii="Book Antiqua" w:hAnsi="Book Antiqua" w:cs="Times New Roman"/>
          <w:noProof/>
          <w:lang w:val="en-US"/>
        </w:rPr>
        <w:t xml:space="preserve"> Marx, 2000; </w:t>
      </w:r>
      <w:r w:rsidR="00D4694C" w:rsidRPr="001B21F0">
        <w:rPr>
          <w:rFonts w:ascii="Book Antiqua" w:hAnsi="Book Antiqua" w:cs="Times New Roman"/>
          <w:noProof/>
          <w:lang w:val="en-US"/>
        </w:rPr>
        <w:t>Sorensen &amp; Snow, 1991</w:t>
      </w:r>
      <w:r w:rsidR="00D4694C" w:rsidRPr="001B21F0">
        <w:rPr>
          <w:rFonts w:ascii="Book Antiqua" w:hAnsi="Book Antiqua" w:cs="Times New Roman"/>
          <w:lang w:val="en-US"/>
        </w:rPr>
        <w:fldChar w:fldCharType="end"/>
      </w:r>
      <w:r w:rsidR="00140E1C" w:rsidRPr="001B21F0">
        <w:rPr>
          <w:rFonts w:ascii="Book Antiqua" w:hAnsi="Book Antiqua" w:cs="Times New Roman"/>
          <w:lang w:val="en-US"/>
        </w:rPr>
        <w:t>)</w:t>
      </w:r>
      <w:r w:rsidR="00D4694C" w:rsidRPr="001B21F0">
        <w:rPr>
          <w:rFonts w:ascii="Book Antiqua" w:hAnsi="Book Antiqua" w:cs="Times New Roman"/>
          <w:lang w:val="en-US"/>
        </w:rPr>
        <w:t>.</w:t>
      </w:r>
    </w:p>
    <w:p w14:paraId="766A2608" w14:textId="2C68B45A" w:rsidR="00D4694C" w:rsidRPr="001B21F0" w:rsidRDefault="00D4694C" w:rsidP="00C41F6B">
      <w:pPr>
        <w:spacing w:after="0" w:line="240" w:lineRule="auto"/>
        <w:ind w:firstLine="284"/>
        <w:jc w:val="both"/>
        <w:rPr>
          <w:rFonts w:ascii="Book Antiqua" w:hAnsi="Book Antiqua" w:cs="Times New Roman"/>
          <w:lang w:val="en-US"/>
        </w:rPr>
      </w:pPr>
      <w:r w:rsidRPr="001B21F0">
        <w:rPr>
          <w:rFonts w:ascii="Book Antiqua" w:hAnsi="Book Antiqua" w:cs="Times New Roman"/>
          <w:lang w:val="en-US"/>
        </w:rPr>
        <w:t xml:space="preserve">Other factors that seem to be associated with recanting have been identified, for example, the proposition of a filial dependency model of recantation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"10.1097/01.chi.0000246067.77953.f7", "ISSN" : "0890-8567", "PMID" : "17242619", "abstract" : "OBJECTIVE: Controversy abounds regarding the process by which child sexual abuse victims disclose their experiences, particularly the extent to which and the reasons why some children, once having disclosed abuse, later recant their allegations. This study examined the prevalence and predictors of recantation among 2- to 17-year-old child sexual abuse victims.\n\nMETHOD: Case files (n = 257) were randomly selected from all substantiated cases resulting in a dependency court filing in a large urban county between 1999 and 2000. Recantation (i.e., denial of abuse postdisclosure) was scored across formal and informal interviews. Cases were also coded for characteristics of the child, family, and abuse.\n\nRESULTS: A 23.1% recantation rate was observed. Multivariate analyses supported a filial dependency model of recantation, whereby abuse victims who were more vulnerable to familial adult influences (i.e., younger children, those abused by a parent figure and who lacked support from the nonoffending caregiver) were more likely to recant. An alternative hypothesis, that recantations resulted from potential inclusion of cases involving false allegations, was not supported.\n\nCONCLUSION: Results provide new insight into the process by which children reveal interpersonal trauma and have implications for debates concerning the credibility of child sexual abuse allegations and treatment in dependency samples.", "author" : [ { "dropping-particle" : "", "family" : "Malloy", "given" : "Lindsay C", "non-dropping-particle" : "", "parse-names" : false, "suffix" : "" }, { "dropping-particle" : "", "family" : "Lyon", "given" : "Thomas D", "non-dropping-particle" : "", "parse-names" : false, "suffix" : "" }, { "dropping-particle" : "", "family" : "Quas", "given" : "Jodi A", "non-dropping-particle" : "", "parse-names" : false, "suffix" : "" } ], "container-title" : "Journal of the American Academy of Child and Adolescent Psychiatry", "id" : "ITEM-1", "issue" : "2", "issued" : { "date-parts" : [ [ "2007", "2" ] ] }, "page" : "162-70", "title" : "Filial dependency and recantation of child sexual abuse allegations.", "type" : "article-journal", "volume" : "46" }, "uris" : [ "http://www.mendeley.com/documents/?uuid=518b67de-99fa-4022-a869-f58bcd4aebd6" ] } ], "mendeley" : { "formattedCitation" : "(Malloy et al., 2007)", "plainTextFormattedCitation" : "(Malloy et al., 2007)", "previouslyFormattedCitation" : "(Malloy et al., 2007)"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(Malloy et al., 2007)</w:t>
      </w:r>
      <w:r w:rsidRPr="001B21F0">
        <w:rPr>
          <w:rFonts w:ascii="Book Antiqua" w:hAnsi="Book Antiqua" w:cs="Times New Roman"/>
          <w:lang w:val="en-US"/>
        </w:rPr>
        <w:fldChar w:fldCharType="end"/>
      </w:r>
      <w:r w:rsidRPr="001B21F0">
        <w:rPr>
          <w:rFonts w:ascii="Book Antiqua" w:hAnsi="Book Antiqua" w:cs="Times New Roman"/>
          <w:lang w:val="en-US"/>
        </w:rPr>
        <w:t>. This model focuses on the relationship between the child and the abuser, the level of support received by the child from the non-abusing guardian after he/she discloses, the child’s age</w:t>
      </w:r>
      <w:r w:rsidR="005576CE" w:rsidRPr="001B21F0">
        <w:rPr>
          <w:rFonts w:ascii="Book Antiqua" w:hAnsi="Book Antiqua" w:cs="Times New Roman"/>
          <w:lang w:val="en-US"/>
        </w:rPr>
        <w:t>,</w:t>
      </w:r>
      <w:r w:rsidRPr="001B21F0">
        <w:rPr>
          <w:rFonts w:ascii="Book Antiqua" w:hAnsi="Book Antiqua" w:cs="Times New Roman"/>
          <w:lang w:val="en-US"/>
        </w:rPr>
        <w:t xml:space="preserve"> and where the child is placed after disclosing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"10.1097/01.chi.0000246067.77953.f7", "ISSN" : "0890-8567", "PMID" : "17242619", "abstract" : "OBJECTIVE: Controversy abounds regarding the process by which child sexual abuse victims disclose their experiences, particularly the extent to which and the reasons why some children, once having disclosed abuse, later recant their allegations. This study examined the prevalence and predictors of recantation among 2- to 17-year-old child sexual abuse victims.\n\nMETHOD: Case files (n = 257) were randomly selected from all substantiated cases resulting in a dependency court filing in a large urban county between 1999 and 2000. Recantation (i.e., denial of abuse postdisclosure) was scored across formal and informal interviews. Cases were also coded for characteristics of the child, family, and abuse.\n\nRESULTS: A 23.1% recantation rate was observed. Multivariate analyses supported a filial dependency model of recantation, whereby abuse victims who were more vulnerable to familial adult influences (i.e., younger children, those abused by a parent figure and who lacked support from the nonoffending caregiver) were more likely to recant. An alternative hypothesis, that recantations resulted from potential inclusion of cases involving false allegations, was not supported.\n\nCONCLUSION: Results provide new insight into the process by which children reveal interpersonal trauma and have implications for debates concerning the credibility of child sexual abuse allegations and treatment in dependency samples.", "author" : [ { "dropping-particle" : "", "family" : "Malloy", "given" : "Lindsay C", "non-dropping-particle" : "", "parse-names" : false, "suffix" : "" }, { "dropping-particle" : "", "family" : "Lyon", "given" : "Thomas D", "non-dropping-particle" : "", "parse-names" : false, "suffix" : "" }, { "dropping-particle" : "", "family" : "Quas", "given" : "Jodi A", "non-dropping-particle" : "", "parse-names" : false, "suffix" : "" } ], "container-title" : "Journal of the American Academy of Child and Adolescent Psychiatry", "id" : "ITEM-1", "issue" : "2", "issued" : { "date-parts" : [ [ "2007", "2" ] ] }, "page" : "162-70", "title" : "Filial dependency and recantation of child sexual abuse allegations.", "type" : "article-journal", "volume" : "46" }, "uris" : [ "http://www.mendeley.com/documents/?uuid=518b67de-99fa-4022-a869-f58bcd4aebd6" ] } ], "mendeley" : { "formattedCitation" : "(Malloy et al., 2007)", "plainTextFormattedCitation" : "(Malloy et al., 2007)", "previouslyFormattedCitation" : "(Malloy et al., 2007)"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(Malloy et al., 2007)</w:t>
      </w:r>
      <w:r w:rsidRPr="001B21F0">
        <w:rPr>
          <w:rFonts w:ascii="Book Antiqua" w:hAnsi="Book Antiqua" w:cs="Times New Roman"/>
          <w:lang w:val="en-US"/>
        </w:rPr>
        <w:fldChar w:fldCharType="end"/>
      </w:r>
      <w:r w:rsidRPr="001B21F0">
        <w:rPr>
          <w:rFonts w:ascii="Book Antiqua" w:hAnsi="Book Antiqua" w:cs="Times New Roman"/>
          <w:lang w:val="en-US"/>
        </w:rPr>
        <w:t>. The authors found that children who were more susceptible to being influenced by an adult relative (and thus more inclined to recant disclosures) were also younger, abused by a parental figure</w:t>
      </w:r>
      <w:r w:rsidR="005576CE" w:rsidRPr="001B21F0">
        <w:rPr>
          <w:rFonts w:ascii="Book Antiqua" w:hAnsi="Book Antiqua" w:cs="Times New Roman"/>
          <w:lang w:val="en-US"/>
        </w:rPr>
        <w:t>,</w:t>
      </w:r>
      <w:r w:rsidRPr="001B21F0">
        <w:rPr>
          <w:rFonts w:ascii="Book Antiqua" w:hAnsi="Book Antiqua" w:cs="Times New Roman"/>
          <w:lang w:val="en-US"/>
        </w:rPr>
        <w:t xml:space="preserve"> and did not receive support from the non-offending guardian.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"10.1016/0145-2134(93)90047-9", "ISSN" : "01452134", "abstract" : "Patterns of disclosures and recantations of abuse made in psychotherapy were examined in a sample of 63 children who reported sexual and ritualistic abuse in a preschool setting. Therapists completed a measure that instructed them to identify the time since the child began therapy when any disclosures or recantations were made, to specify the type of abuse disclosed or recanted, and to identify any events that might be related to the timing of a disclosure or recantation. The findings revealed that the majority of subjects (76.2%) disclosed abuse within the first month of therapy. Recantation occurred in 17 cases (27%) and all but two children who recanted redisclosed abuse after the initial recantation. There was some evidence that children's experiences within the legal system may have been associated with recantations. Subjects tended to make vague disclosures before revealing more specific acts, reveal less intrusive sexual abuse (e.g., kissing) before more intrusive types (e.g., intercourse), and to disclose ritualistic abuse after other types. Dans une \u00e9tude aupr\u00e8s d'un \u00e9chantillon de 63 enfants qui avaient \u00e9t\u00e9 signal\u00e9s victimes d'abus sexuels et de rituels, on a examin\u00e9 leurs d\u00e9voilements et leurs r\u00e9tractations en psychoth\u00e9rapie. Pour ce, les th\u00e9rapeutes ont fourni des renseignements sur le temps \u00e9coul\u00e9 entre le moment o\u00f9 l'enfant \u00e9tait entr\u00e9 en th\u00e9rapie et le moment o\u00f9 il avait d\u00e9voil\u00e9 ou d\u00e9ni\u00e9. Ils ont aussi pr\u00e9cis\u00e9 le type de mauvais traitement d\u00e9voil\u00e9 ou r\u00e9tract\u00e9 et identifi\u00e9 tout \u00e9v\u00e9nement qui aurait pu avoir des liens avec le d\u00e9voilement ou la r\u00e9traction. On a not\u00e9 que la majorit\u00e9 des sujets (76.2%) ont d\u00e9voil\u00e9 durant le premier mois de las th\u00e9rapie. La retractation se produisit dans 17 cas (27%) et, sauf deux, tous les enfants qui avaient r\u00e9tract\u00e9 ont d\u00e9voil\u00e9 a nouveau les mauvais traitements. On serait port\u00e9 \u00e0 croire que les exp\u00e9riences des enfants aux prises avec le syst\u00e8me l\u00e9gal pourraient expliquer les r\u00e9tractations. Les d\u00e9ilements se faisaient de facon progressive. Les enfants \u00e9taient port\u00e9s d'abord \u00e0 d\u00e9voiler de facon impr\u00e9cise avant de d\u00e9crire \u00e9ntuellement des actes plus d\u00e9finis comme les baisers. Ils parlaient d'abord des gestes moins graves (ex.les baisers) avant de passer \u00e0 une description des actes plus s\u00e9rieux (la p\u00e9n\u00e9tration), et d\u00e9voilaient les actes du type rituel avant de d\u00e9voiler d'autres types d'actes. Los patrones al revelar y descalificar abuso que se hacen en psicoterapia fueron examinados en una muestra de 63 ni\u00f1os qu\u2026", "author" : [ { "dropping-particle" : "", "family" : "Gonzalez", "given" : "Lauren Shapiro", "non-dropping-particle" : "", "parse-names" : false, "suffix" : "" }, { "dropping-particle" : "", "family" : "Waterman", "given" : "Jill", "non-dropping-particle" : "", "parse-names" : false, "suffix" : "" }, { "dropping-particle" : "", "family" : "Kelly", "given" : "Robert J.", "non-dropping-particle" : "", "parse-names" : false, "suffix" : "" }, { "dropping-particle" : "", "family" : "McCord", "given" : "Jane", "non-dropping-particle" : "", "parse-names" : false, "suffix" : "" }, { "dropping-particle" : "", "family" : "Oliveri", "given" : "Mary Kay", "non-dropping-particle" : "", "parse-names" : false, "suffix" : "" } ], "container-title" : "Child Abuse &amp; Neglect", "id" : "ITEM-1", "issue" : "2", "issued" : { "date-parts" : [ [ "1993" ] ] }, "page" : "281-289", "publisher" : "Pergamon", "title" : "Children's patterns of disclosures and recantations of sexual and ritualistic abuse allegations in psychotherapy", "type" : "article-journal", "volume" : "17" }, "uris" : [ "http://www.mendeley.com/documents/?uuid=2e8b6727-2bfb-341d-9179-a86fc32960f8" ] } ], "mendeley" : { "formattedCitation" : "(Gonzalez, Waterman, Kelly, McCord, &amp; Oliveri, 1993)", "manualFormatting" : "Gonzalez, Waterman, Kelly, McCord and Oliveri (1993)", "plainTextFormattedCitation" : "(Gonzalez, Waterman, Kelly, McCord, &amp; Oliveri, 1993)", "previouslyFormattedCitation" : "(Gonzalez, Waterman, Kelly, McCord, &amp; Oliveri, 1993)"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Gonzalez, Waterman, Kelly, McCord</w:t>
      </w:r>
      <w:r w:rsidR="005576CE" w:rsidRPr="001B21F0">
        <w:rPr>
          <w:rFonts w:ascii="Book Antiqua" w:hAnsi="Book Antiqua" w:cs="Times New Roman"/>
          <w:noProof/>
          <w:lang w:val="en-US"/>
        </w:rPr>
        <w:t>,</w:t>
      </w:r>
      <w:r w:rsidRPr="001B21F0">
        <w:rPr>
          <w:rFonts w:ascii="Book Antiqua" w:hAnsi="Book Antiqua" w:cs="Times New Roman"/>
          <w:noProof/>
          <w:lang w:val="en-US"/>
        </w:rPr>
        <w:t xml:space="preserve"> and Oliveri (1993)</w:t>
      </w:r>
      <w:r w:rsidRPr="001B21F0">
        <w:rPr>
          <w:rFonts w:ascii="Book Antiqua" w:hAnsi="Book Antiqua" w:cs="Times New Roman"/>
          <w:lang w:val="en-US"/>
        </w:rPr>
        <w:fldChar w:fldCharType="end"/>
      </w:r>
      <w:r w:rsidRPr="001B21F0">
        <w:rPr>
          <w:rFonts w:ascii="Book Antiqua" w:hAnsi="Book Antiqua" w:cs="Times New Roman"/>
          <w:lang w:val="en-US"/>
        </w:rPr>
        <w:t xml:space="preserve"> note</w:t>
      </w:r>
      <w:r w:rsidR="005576CE" w:rsidRPr="001B21F0">
        <w:rPr>
          <w:rFonts w:ascii="Book Antiqua" w:hAnsi="Book Antiqua" w:cs="Times New Roman"/>
          <w:lang w:val="en-US"/>
        </w:rPr>
        <w:t>d</w:t>
      </w:r>
      <w:r w:rsidRPr="001B21F0">
        <w:rPr>
          <w:rFonts w:ascii="Book Antiqua" w:hAnsi="Book Antiqua" w:cs="Times New Roman"/>
          <w:lang w:val="en-US"/>
        </w:rPr>
        <w:t xml:space="preserve"> that some</w:t>
      </w:r>
      <w:r w:rsidR="00DC572A" w:rsidRPr="001B21F0">
        <w:rPr>
          <w:rFonts w:ascii="Book Antiqua" w:hAnsi="Book Antiqua" w:cs="Times New Roman"/>
          <w:lang w:val="en-US"/>
        </w:rPr>
        <w:t xml:space="preserve"> victims of</w:t>
      </w:r>
      <w:r w:rsidRPr="001B21F0">
        <w:rPr>
          <w:rFonts w:ascii="Book Antiqua" w:hAnsi="Book Antiqua" w:cs="Times New Roman"/>
          <w:lang w:val="en-US"/>
        </w:rPr>
        <w:t xml:space="preserve"> CSA</w:t>
      </w:r>
      <w:r w:rsidR="00DC572A" w:rsidRPr="001B21F0">
        <w:rPr>
          <w:rFonts w:ascii="Book Antiqua" w:hAnsi="Book Antiqua" w:cs="Times New Roman"/>
          <w:lang w:val="en-US"/>
        </w:rPr>
        <w:t xml:space="preserve"> </w:t>
      </w:r>
      <w:r w:rsidRPr="001B21F0">
        <w:rPr>
          <w:rFonts w:ascii="Book Antiqua" w:hAnsi="Book Antiqua" w:cs="Times New Roman"/>
          <w:lang w:val="en-US"/>
        </w:rPr>
        <w:t xml:space="preserve">in their study recanted in therapy despite it being a supportive environmental context. This </w:t>
      </w:r>
      <w:r w:rsidR="005576CE" w:rsidRPr="001B21F0">
        <w:rPr>
          <w:rFonts w:ascii="Book Antiqua" w:hAnsi="Book Antiqua" w:cs="Times New Roman"/>
          <w:lang w:val="en-US"/>
        </w:rPr>
        <w:t xml:space="preserve">phenomenon </w:t>
      </w:r>
      <w:r w:rsidRPr="001B21F0">
        <w:rPr>
          <w:rFonts w:ascii="Book Antiqua" w:hAnsi="Book Antiqua" w:cs="Times New Roman"/>
          <w:lang w:val="en-US"/>
        </w:rPr>
        <w:t xml:space="preserve">is noteworthy because the fact remains that most CSA disclosures occur in environments outside of a supportive therapeutic setting. </w:t>
      </w:r>
      <w:r w:rsidR="005576CE" w:rsidRPr="001B21F0">
        <w:rPr>
          <w:rFonts w:ascii="Book Antiqua" w:hAnsi="Book Antiqua" w:cs="Times New Roman"/>
          <w:lang w:val="en-US"/>
        </w:rPr>
        <w:t xml:space="preserve">Although </w:t>
      </w:r>
      <w:r w:rsidR="00F64E69" w:rsidRPr="001B21F0">
        <w:rPr>
          <w:rFonts w:ascii="Book Antiqua" w:hAnsi="Book Antiqua" w:cs="Times New Roman"/>
          <w:lang w:val="en-US"/>
        </w:rPr>
        <w:t xml:space="preserve">uncommon, the fallout that occurs from recantations </w:t>
      </w:r>
      <w:r w:rsidR="00D25DFF" w:rsidRPr="001B21F0">
        <w:rPr>
          <w:rFonts w:ascii="Book Antiqua" w:hAnsi="Book Antiqua" w:cs="Times New Roman"/>
          <w:lang w:val="en-US"/>
        </w:rPr>
        <w:t xml:space="preserve">is sufficiently malignant </w:t>
      </w:r>
      <w:r w:rsidR="00C10D74" w:rsidRPr="001B21F0">
        <w:rPr>
          <w:rFonts w:ascii="Book Antiqua" w:hAnsi="Book Antiqua" w:cs="Times New Roman"/>
          <w:lang w:val="en-US"/>
        </w:rPr>
        <w:t xml:space="preserve">to warrant increased scientific efforts to understand the psychological processes and effects that are associated with the behavior. </w:t>
      </w:r>
    </w:p>
    <w:p w14:paraId="6F6C012E" w14:textId="77777777" w:rsidR="00EF6378" w:rsidRPr="001B21F0" w:rsidRDefault="00EF6378" w:rsidP="00EF6378">
      <w:pPr>
        <w:spacing w:after="0" w:line="240" w:lineRule="auto"/>
        <w:rPr>
          <w:rFonts w:ascii="Book Antiqua" w:hAnsi="Book Antiqua" w:cs="Times New Roman"/>
          <w:lang w:val="en-US"/>
        </w:rPr>
      </w:pPr>
    </w:p>
    <w:p w14:paraId="3B6B09EB" w14:textId="47DBB045" w:rsidR="00D4694C" w:rsidRPr="001B21F0" w:rsidRDefault="009D3D1E" w:rsidP="00EF6378">
      <w:pPr>
        <w:spacing w:after="0" w:line="240" w:lineRule="auto"/>
        <w:rPr>
          <w:rFonts w:ascii="Book Antiqua" w:hAnsi="Book Antiqua" w:cs="Times New Roman"/>
          <w:b/>
          <w:lang w:val="en-US"/>
        </w:rPr>
      </w:pPr>
      <w:r w:rsidRPr="001B21F0">
        <w:rPr>
          <w:rFonts w:ascii="Book Antiqua" w:hAnsi="Book Antiqua" w:cs="Times New Roman"/>
          <w:b/>
          <w:lang w:val="en-US"/>
        </w:rPr>
        <w:br w:type="column"/>
      </w:r>
      <w:r w:rsidR="00D4694C" w:rsidRPr="001B21F0">
        <w:rPr>
          <w:rFonts w:ascii="Book Antiqua" w:hAnsi="Book Antiqua" w:cs="Times New Roman"/>
          <w:b/>
          <w:lang w:val="en-US"/>
        </w:rPr>
        <w:lastRenderedPageBreak/>
        <w:t>Effects of Coping Strategies on Memory</w:t>
      </w:r>
    </w:p>
    <w:p w14:paraId="0C7384EF" w14:textId="77777777" w:rsidR="00EF6378" w:rsidRPr="001B21F0" w:rsidRDefault="00EF6378" w:rsidP="00EF6378">
      <w:pPr>
        <w:spacing w:after="0" w:line="240" w:lineRule="auto"/>
        <w:jc w:val="both"/>
        <w:rPr>
          <w:rFonts w:ascii="Book Antiqua" w:hAnsi="Book Antiqua" w:cs="Times New Roman"/>
          <w:lang w:val="en-US"/>
        </w:rPr>
      </w:pPr>
    </w:p>
    <w:p w14:paraId="14684D26" w14:textId="71827E3D" w:rsidR="00D4694C" w:rsidRPr="001B21F0" w:rsidRDefault="00D4694C" w:rsidP="00EF6378">
      <w:pPr>
        <w:spacing w:after="0" w:line="240" w:lineRule="auto"/>
        <w:jc w:val="both"/>
        <w:rPr>
          <w:rFonts w:ascii="Book Antiqua" w:hAnsi="Book Antiqua" w:cs="Times New Roman"/>
          <w:lang w:val="en-US"/>
        </w:rPr>
      </w:pPr>
      <w:r w:rsidRPr="001B21F0">
        <w:rPr>
          <w:rFonts w:ascii="Book Antiqua" w:hAnsi="Book Antiqua" w:cs="Times New Roman"/>
          <w:lang w:val="en-US"/>
        </w:rPr>
        <w:t>A relevant issue when victims (falsely) deny, limit disclosure</w:t>
      </w:r>
      <w:r w:rsidR="005576CE" w:rsidRPr="001B21F0">
        <w:rPr>
          <w:rFonts w:ascii="Book Antiqua" w:hAnsi="Book Antiqua" w:cs="Times New Roman"/>
          <w:lang w:val="en-US"/>
        </w:rPr>
        <w:t>,</w:t>
      </w:r>
      <w:r w:rsidRPr="001B21F0">
        <w:rPr>
          <w:rFonts w:ascii="Book Antiqua" w:hAnsi="Book Antiqua" w:cs="Times New Roman"/>
          <w:lang w:val="en-US"/>
        </w:rPr>
        <w:t xml:space="preserve"> or recant an abusive experience is </w:t>
      </w:r>
      <w:r w:rsidR="005576CE" w:rsidRPr="001B21F0">
        <w:rPr>
          <w:rFonts w:ascii="Book Antiqua" w:hAnsi="Book Antiqua" w:cs="Times New Roman"/>
          <w:lang w:val="en-US"/>
        </w:rPr>
        <w:t xml:space="preserve">the </w:t>
      </w:r>
      <w:r w:rsidRPr="001B21F0">
        <w:rPr>
          <w:rFonts w:ascii="Book Antiqua" w:hAnsi="Book Antiqua" w:cs="Times New Roman"/>
          <w:lang w:val="en-US"/>
        </w:rPr>
        <w:t>impact</w:t>
      </w:r>
      <w:r w:rsidR="005576CE" w:rsidRPr="001B21F0">
        <w:rPr>
          <w:rFonts w:ascii="Book Antiqua" w:hAnsi="Book Antiqua" w:cs="Times New Roman"/>
          <w:lang w:val="en-US"/>
        </w:rPr>
        <w:t xml:space="preserve"> of</w:t>
      </w:r>
      <w:r w:rsidRPr="001B21F0">
        <w:rPr>
          <w:rFonts w:ascii="Book Antiqua" w:hAnsi="Book Antiqua" w:cs="Times New Roman"/>
          <w:lang w:val="en-US"/>
        </w:rPr>
        <w:t xml:space="preserve"> these strategies on memory when victims do eventually </w:t>
      </w:r>
      <w:r w:rsidR="00091747" w:rsidRPr="001B21F0">
        <w:rPr>
          <w:rFonts w:ascii="Book Antiqua" w:hAnsi="Book Antiqua" w:cs="Times New Roman"/>
          <w:lang w:val="en-US"/>
        </w:rPr>
        <w:t>speak out</w:t>
      </w:r>
      <w:r w:rsidRPr="001B21F0">
        <w:rPr>
          <w:rFonts w:ascii="Book Antiqua" w:hAnsi="Book Antiqua" w:cs="Times New Roman"/>
          <w:lang w:val="en-US"/>
        </w:rPr>
        <w:t xml:space="preserve">. To understand this issue, </w:t>
      </w:r>
      <w:r w:rsidR="005576CE" w:rsidRPr="001B21F0">
        <w:rPr>
          <w:rFonts w:ascii="Book Antiqua" w:hAnsi="Book Antiqua" w:cs="Times New Roman"/>
          <w:lang w:val="en-US"/>
        </w:rPr>
        <w:t>initially</w:t>
      </w:r>
      <w:r w:rsidRPr="001B21F0">
        <w:rPr>
          <w:rFonts w:ascii="Book Antiqua" w:hAnsi="Book Antiqua" w:cs="Times New Roman"/>
          <w:lang w:val="en-US"/>
        </w:rPr>
        <w:t xml:space="preserve"> focus</w:t>
      </w:r>
      <w:r w:rsidR="005576CE" w:rsidRPr="001B21F0">
        <w:rPr>
          <w:rFonts w:ascii="Book Antiqua" w:hAnsi="Book Antiqua" w:cs="Times New Roman"/>
          <w:lang w:val="en-US"/>
        </w:rPr>
        <w:t>ing</w:t>
      </w:r>
      <w:r w:rsidRPr="001B21F0">
        <w:rPr>
          <w:rFonts w:ascii="Book Antiqua" w:hAnsi="Book Antiqua" w:cs="Times New Roman"/>
          <w:lang w:val="en-US"/>
        </w:rPr>
        <w:t xml:space="preserve"> on how traumatic events are remembered in general</w:t>
      </w:r>
      <w:r w:rsidR="005576CE" w:rsidRPr="001B21F0">
        <w:rPr>
          <w:rFonts w:ascii="Book Antiqua" w:hAnsi="Book Antiqua" w:cs="Times New Roman"/>
          <w:lang w:val="en-US"/>
        </w:rPr>
        <w:t xml:space="preserve"> is imperative</w:t>
      </w:r>
      <w:r w:rsidRPr="001B21F0">
        <w:rPr>
          <w:rFonts w:ascii="Book Antiqua" w:hAnsi="Book Antiqua" w:cs="Times New Roman"/>
          <w:lang w:val="en-US"/>
        </w:rPr>
        <w:t xml:space="preserve">. A plethora of research has shown that in theory, central details for highly negative and stressful events (e.g., sexual abuse) are well remembered and accurate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"10.1002/acp.832", "ISSN" : "0888-4080", "author" : [ { "dropping-particle" : "", "family" : "Peterson", "given" : "Carole", "non-dropping-particle" : "", "parse-names" : false, "suffix" : "" }, { "dropping-particle" : "", "family" : "Whalen", "given" : "Nikki", "non-dropping-particle" : "", "parse-names" : false, "suffix" : "" } ], "container-title" : "Applied Cognitive Psychology", "id" : "ITEM-1", "issue" : "7", "issued" : { "date-parts" : [ [ "2001", "12", "1" ] ] }, "language" : "en", "page" : "S7-S24", "publisher" : "John Wiley &amp; Sons, Ltd.", "title" : "Five years later: children's memory for medical emergencies", "type" : "article-journal", "volume" : "15" }, "uris" : [ "http://www.mendeley.com/documents/?uuid=ba24a6dc-7077-4ab8-874f-7692261f7eb4" ] } ], "mendeley" : { "formattedCitation" : "(Peterson &amp; Whalen, 2001)", "manualFormatting" : "(Peterson &amp; Whalen, 2001", "plainTextFormattedCitation" : "(Peterson &amp; Whalen, 2001)", "previouslyFormattedCitation" : "(Peterson &amp; Whalen, 2001)"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w:t>
      </w:r>
      <w:r w:rsidR="002A2CF0" w:rsidRPr="001B21F0">
        <w:rPr>
          <w:rFonts w:ascii="Book Antiqua" w:hAnsi="Book Antiqua" w:cs="Times New Roman"/>
          <w:noProof/>
          <w:lang w:val="en-US"/>
        </w:rPr>
        <w:t xml:space="preserve">Block, Greenberg, &amp; Goodman, 2009; </w:t>
      </w:r>
      <w:r w:rsidRPr="001B21F0">
        <w:rPr>
          <w:rFonts w:ascii="Book Antiqua" w:hAnsi="Book Antiqua" w:cs="Times New Roman"/>
          <w:noProof/>
          <w:lang w:val="en-US"/>
        </w:rPr>
        <w:t>Peterson &amp; Whalen, 2001</w:t>
      </w:r>
      <w:r w:rsidRPr="001B21F0">
        <w:rPr>
          <w:rFonts w:ascii="Book Antiqua" w:hAnsi="Book Antiqua" w:cs="Times New Roman"/>
          <w:lang w:val="en-US"/>
        </w:rPr>
        <w:fldChar w:fldCharType="end"/>
      </w:r>
      <w:r w:rsidR="002A2CF0" w:rsidRPr="001B21F0">
        <w:rPr>
          <w:rFonts w:ascii="Book Antiqua" w:hAnsi="Book Antiqua" w:cs="Times New Roman"/>
          <w:lang w:val="en-US"/>
        </w:rPr>
        <w:t>)</w:t>
      </w:r>
      <w:r w:rsidRPr="001B21F0">
        <w:rPr>
          <w:rFonts w:ascii="Book Antiqua" w:hAnsi="Book Antiqua" w:cs="Times New Roman"/>
          <w:lang w:val="en-US"/>
        </w:rPr>
        <w:t xml:space="preserve">. In one study, Alexander and colleagues (2005) found that participants who indicated that CSA was the most traumatic event they had ever </w:t>
      </w:r>
      <w:r w:rsidR="00D4095C" w:rsidRPr="001B21F0">
        <w:rPr>
          <w:rFonts w:ascii="Book Antiqua" w:hAnsi="Book Antiqua" w:cs="Times New Roman"/>
          <w:lang w:val="en-US"/>
        </w:rPr>
        <w:t>experienced</w:t>
      </w:r>
      <w:r w:rsidRPr="001B21F0">
        <w:rPr>
          <w:rFonts w:ascii="Book Antiqua" w:hAnsi="Book Antiqua" w:cs="Times New Roman"/>
          <w:lang w:val="en-US"/>
        </w:rPr>
        <w:t xml:space="preserve"> displayed </w:t>
      </w:r>
      <w:r w:rsidR="005576CE" w:rsidRPr="001B21F0">
        <w:rPr>
          <w:rFonts w:ascii="Book Antiqua" w:hAnsi="Book Antiqua" w:cs="Times New Roman"/>
          <w:lang w:val="en-US"/>
        </w:rPr>
        <w:t xml:space="preserve">an </w:t>
      </w:r>
      <w:r w:rsidRPr="001B21F0">
        <w:rPr>
          <w:rFonts w:ascii="Book Antiqua" w:hAnsi="Book Antiqua" w:cs="Times New Roman"/>
          <w:lang w:val="en-US"/>
        </w:rPr>
        <w:t xml:space="preserve">accurate memory for documented central details of their abuse many years later. The authors suggested that this superior memory performance might </w:t>
      </w:r>
      <w:r w:rsidR="005576CE" w:rsidRPr="001B21F0">
        <w:rPr>
          <w:rFonts w:ascii="Book Antiqua" w:hAnsi="Book Antiqua" w:cs="Times New Roman"/>
          <w:lang w:val="en-US"/>
        </w:rPr>
        <w:t xml:space="preserve">be </w:t>
      </w:r>
      <w:r w:rsidRPr="001B21F0">
        <w:rPr>
          <w:rFonts w:ascii="Book Antiqua" w:hAnsi="Book Antiqua" w:cs="Times New Roman"/>
          <w:lang w:val="en-US"/>
        </w:rPr>
        <w:t xml:space="preserve">the consequence of the rehearsal of the events by the victims. However, although </w:t>
      </w:r>
      <w:r w:rsidR="00B4098B" w:rsidRPr="001B21F0">
        <w:rPr>
          <w:rFonts w:ascii="Book Antiqua" w:hAnsi="Book Antiqua" w:cs="Times New Roman"/>
          <w:lang w:val="en-US"/>
        </w:rPr>
        <w:t xml:space="preserve">victims of </w:t>
      </w:r>
      <w:r w:rsidRPr="001B21F0">
        <w:rPr>
          <w:rFonts w:ascii="Book Antiqua" w:hAnsi="Book Antiqua" w:cs="Times New Roman"/>
          <w:lang w:val="en-US"/>
        </w:rPr>
        <w:t>CSA</w:t>
      </w:r>
      <w:r w:rsidR="00B4098B" w:rsidRPr="001B21F0">
        <w:rPr>
          <w:rFonts w:ascii="Book Antiqua" w:hAnsi="Book Antiqua" w:cs="Times New Roman"/>
          <w:lang w:val="en-US"/>
        </w:rPr>
        <w:t xml:space="preserve"> </w:t>
      </w:r>
      <w:r w:rsidRPr="001B21F0">
        <w:rPr>
          <w:rFonts w:ascii="Book Antiqua" w:hAnsi="Book Antiqua" w:cs="Times New Roman"/>
          <w:lang w:val="en-US"/>
        </w:rPr>
        <w:t xml:space="preserve">demonstrate superior memory </w:t>
      </w:r>
      <w:r w:rsidR="005576CE" w:rsidRPr="001B21F0">
        <w:rPr>
          <w:rFonts w:ascii="Book Antiqua" w:hAnsi="Book Antiqua" w:cs="Times New Roman"/>
          <w:lang w:val="en-US"/>
        </w:rPr>
        <w:t xml:space="preserve">of </w:t>
      </w:r>
      <w:r w:rsidRPr="001B21F0">
        <w:rPr>
          <w:rFonts w:ascii="Book Antiqua" w:hAnsi="Book Antiqua" w:cs="Times New Roman"/>
          <w:lang w:val="en-US"/>
        </w:rPr>
        <w:t>the abusive event</w:t>
      </w:r>
      <w:r w:rsidR="005576CE" w:rsidRPr="001B21F0">
        <w:rPr>
          <w:rFonts w:ascii="Book Antiqua" w:hAnsi="Book Antiqua" w:cs="Times New Roman"/>
          <w:lang w:val="en-US"/>
        </w:rPr>
        <w:t>,</w:t>
      </w:r>
      <w:r w:rsidRPr="001B21F0">
        <w:rPr>
          <w:rFonts w:ascii="Book Antiqua" w:hAnsi="Book Antiqua" w:cs="Times New Roman"/>
          <w:lang w:val="en-US"/>
        </w:rPr>
        <w:t xml:space="preserve"> they sometimes deliberately omit sexual details or deny knowledge of such details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"10.1375/pplt.14.1.120", "ISSN" : "1321-8719", "abstract" : "The present study examines how children, who had been exposed to a single act of sexual abuse carried out by an unfamiliar perpetrator (the same perpetrator in all cases), remembered and reported on the abuse in subsequent police interviews. Interviews with eight children were analysed with regard to the amount and type of information reported, and the number of times the children denied the sexual abuse. Documentation of the abuse (photographs and medical examinations) was analysed to verify that abuse had actually occurred. The majority of the children reported no, or very few, sexual details. Of all the event details reported, 7.6% referred to sexual acts and, in specific descriptions of the course of the sexual abuse, only 21% of the details were of a sexual nature. In addition, the youngest children expressed to the interviewer on almost 100 occasions that they did not wish to talk about the abuse. The present data indicate that children display difficulties when reporting on sexual abuse, even when the perpetrator is a stranger (i.e., when factors such as loyalty conflicts, dependence on the abuser, fear of negative consequences for the family may be excluded).", "author" : [ { "dropping-particle" : "", "family" : "Leander", "given" : "Lina", "non-dropping-particle" : "", "parse-names" : false, "suffix" : "" }, { "dropping-particle" : "", "family" : "Christianson", "given" : "Sven \u00c5", "non-dropping-particle" : "", "parse-names" : false, "suffix" : "" }, { "dropping-particle" : "", "family" : "Granhag", "given" : "Par Anders", "non-dropping-particle" : "", "parse-names" : false, "suffix" : "" } ], "container-title" : "Psychiatry, Psychology and Law", "id" : "ITEM-1", "issue" : "1", "issued" : { "date-parts" : [ [ "2007" ] ] }, "page" : "120-129", "title" : "A sexual abuse case study: Children's memories and reports", "type" : "article-journal", "volume" : "14" }, "uris" : [ "http://www.mendeley.com/documents/?uuid=ee785bc8-424e-47b4-a28e-9271f32321e9" ] } ], "mendeley" : { "formattedCitation" : "(Leander, Christianson, &amp; Granhag, 2007)", "plainTextFormattedCitation" : "(Leander, Christianson, &amp; Granhag, 2007)", "previouslyFormattedCitation" : "(Leander, Christianson, &amp; Granhag, 2007)"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(Leander, Christianson, &amp; Granhag, 2007)</w:t>
      </w:r>
      <w:r w:rsidRPr="001B21F0">
        <w:rPr>
          <w:rFonts w:ascii="Book Antiqua" w:hAnsi="Book Antiqua" w:cs="Times New Roman"/>
          <w:lang w:val="en-US"/>
        </w:rPr>
        <w:fldChar w:fldCharType="end"/>
      </w:r>
      <w:r w:rsidRPr="001B21F0">
        <w:rPr>
          <w:rFonts w:ascii="Book Antiqua" w:hAnsi="Book Antiqua" w:cs="Times New Roman"/>
          <w:lang w:val="en-US"/>
        </w:rPr>
        <w:t xml:space="preserve">. Is it possible that Tasha Hopkins’ false denial of her abuse </w:t>
      </w:r>
      <w:r w:rsidR="00847F97" w:rsidRPr="001B21F0">
        <w:rPr>
          <w:rFonts w:ascii="Book Antiqua" w:hAnsi="Book Antiqua" w:cs="Times New Roman"/>
          <w:lang w:val="en-US"/>
        </w:rPr>
        <w:t xml:space="preserve">potentially </w:t>
      </w:r>
      <w:r w:rsidRPr="001B21F0">
        <w:rPr>
          <w:rFonts w:ascii="Book Antiqua" w:hAnsi="Book Antiqua" w:cs="Times New Roman"/>
          <w:lang w:val="en-US"/>
        </w:rPr>
        <w:t>adversely affect</w:t>
      </w:r>
      <w:r w:rsidR="00DC572A" w:rsidRPr="001B21F0">
        <w:rPr>
          <w:rFonts w:ascii="Book Antiqua" w:hAnsi="Book Antiqua" w:cs="Times New Roman"/>
          <w:lang w:val="en-US"/>
        </w:rPr>
        <w:t>ed</w:t>
      </w:r>
      <w:r w:rsidRPr="001B21F0">
        <w:rPr>
          <w:rFonts w:ascii="Book Antiqua" w:hAnsi="Book Antiqua" w:cs="Times New Roman"/>
          <w:lang w:val="en-US"/>
        </w:rPr>
        <w:t xml:space="preserve"> her memory? The evidence thus far strongly suggests that the answer is yes because false denials have been shown to have an association with poor memory (Vieira &amp; Lane, 2013). In a recent study, participants were shown 12 negative and 12 neutral pictures on a computer screen after which their memory was tested. Next, </w:t>
      </w:r>
      <w:r w:rsidR="00DC572A" w:rsidRPr="001B21F0">
        <w:rPr>
          <w:rFonts w:ascii="Book Antiqua" w:hAnsi="Book Antiqua" w:cs="Times New Roman"/>
          <w:lang w:val="en-US"/>
        </w:rPr>
        <w:t xml:space="preserve">the </w:t>
      </w:r>
      <w:r w:rsidRPr="001B21F0">
        <w:rPr>
          <w:rFonts w:ascii="Book Antiqua" w:hAnsi="Book Antiqua" w:cs="Times New Roman"/>
          <w:lang w:val="en-US"/>
        </w:rPr>
        <w:t>participants in the false denial condition were instructed to deny in response to questioning (e.g., “What object was between the blue t-shirt and jeans?” – “There was no object between the blue t-shirt and jeans”). The following day</w:t>
      </w:r>
      <w:r w:rsidR="005576CE" w:rsidRPr="001B21F0">
        <w:rPr>
          <w:rFonts w:ascii="Book Antiqua" w:hAnsi="Book Antiqua" w:cs="Times New Roman"/>
          <w:lang w:val="en-US"/>
        </w:rPr>
        <w:t>, the</w:t>
      </w:r>
      <w:r w:rsidRPr="001B21F0">
        <w:rPr>
          <w:rFonts w:ascii="Book Antiqua" w:hAnsi="Book Antiqua" w:cs="Times New Roman"/>
          <w:lang w:val="en-US"/>
        </w:rPr>
        <w:t xml:space="preserve"> participants’ memory was reassessed</w:t>
      </w:r>
      <w:r w:rsidR="005576CE" w:rsidRPr="001B21F0">
        <w:rPr>
          <w:rFonts w:ascii="Book Antiqua" w:hAnsi="Book Antiqua" w:cs="Times New Roman"/>
          <w:lang w:val="en-US"/>
        </w:rPr>
        <w:t>,</w:t>
      </w:r>
      <w:r w:rsidRPr="001B21F0">
        <w:rPr>
          <w:rFonts w:ascii="Book Antiqua" w:hAnsi="Book Antiqua" w:cs="Times New Roman"/>
          <w:lang w:val="en-US"/>
        </w:rPr>
        <w:t xml:space="preserve"> and all the participants were instructed to tell the truth. </w:t>
      </w:r>
      <w:r w:rsidR="005576CE" w:rsidRPr="001B21F0">
        <w:rPr>
          <w:rFonts w:ascii="Book Antiqua" w:hAnsi="Book Antiqua" w:cs="Times New Roman"/>
          <w:lang w:val="en-US"/>
        </w:rPr>
        <w:t>F</w:t>
      </w:r>
      <w:r w:rsidRPr="001B21F0">
        <w:rPr>
          <w:rFonts w:ascii="Book Antiqua" w:hAnsi="Book Antiqua" w:cs="Times New Roman"/>
          <w:lang w:val="en-US"/>
        </w:rPr>
        <w:t xml:space="preserve">alse denials </w:t>
      </w:r>
      <w:r w:rsidR="005576CE" w:rsidRPr="001B21F0">
        <w:rPr>
          <w:rFonts w:ascii="Book Antiqua" w:hAnsi="Book Antiqua" w:cs="Times New Roman"/>
          <w:lang w:val="en-US"/>
        </w:rPr>
        <w:t xml:space="preserve">were found to </w:t>
      </w:r>
      <w:r w:rsidRPr="001B21F0">
        <w:rPr>
          <w:rFonts w:ascii="Book Antiqua" w:hAnsi="Book Antiqua" w:cs="Times New Roman"/>
          <w:lang w:val="en-US"/>
        </w:rPr>
        <w:t xml:space="preserve">lead participants </w:t>
      </w:r>
      <w:r w:rsidR="00F16B3A" w:rsidRPr="001B21F0">
        <w:rPr>
          <w:rFonts w:ascii="Book Antiqua" w:hAnsi="Book Antiqua" w:cs="Times New Roman"/>
          <w:lang w:val="en-US"/>
        </w:rPr>
        <w:t xml:space="preserve">to exhibit </w:t>
      </w:r>
      <w:r w:rsidRPr="001B21F0">
        <w:rPr>
          <w:rFonts w:ascii="Book Antiqua" w:hAnsi="Book Antiqua" w:cs="Times New Roman"/>
          <w:lang w:val="en-US"/>
        </w:rPr>
        <w:t>poorer source</w:t>
      </w:r>
      <w:r w:rsidR="005576CE" w:rsidRPr="001B21F0">
        <w:rPr>
          <w:rFonts w:ascii="Book Antiqua" w:hAnsi="Book Antiqua" w:cs="Times New Roman"/>
          <w:lang w:val="en-US"/>
        </w:rPr>
        <w:t xml:space="preserve"> </w:t>
      </w:r>
      <w:r w:rsidRPr="001B21F0">
        <w:rPr>
          <w:rFonts w:ascii="Book Antiqua" w:hAnsi="Book Antiqua" w:cs="Times New Roman"/>
          <w:lang w:val="en-US"/>
        </w:rPr>
        <w:t>monitoring recognition.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Howe, Smeets, &amp; Wang, 2016)", "plainTextFormattedCitation" : "(Otgaar et al., 2016)", "previouslyFormattedCitation" : "(Otgaar et al., 2016)"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Otgaar, Howe, Smeets, &amp; Wang, 2016)</w:t>
      </w:r>
      <w:r w:rsidRPr="001B21F0">
        <w:rPr>
          <w:rFonts w:ascii="Book Antiqua" w:hAnsi="Book Antiqua" w:cs="Times New Roman"/>
          <w:lang w:val="en-US"/>
        </w:rPr>
        <w:fldChar w:fldCharType="end"/>
      </w:r>
      <w:r w:rsidRPr="001B21F0">
        <w:rPr>
          <w:rFonts w:ascii="Book Antiqua" w:hAnsi="Book Antiqua" w:cs="Times New Roman"/>
          <w:lang w:val="en-US"/>
        </w:rPr>
        <w:t xml:space="preserve">. The authors of this study refer to this type of memory impairment as </w:t>
      </w:r>
      <w:r w:rsidRPr="001B21F0">
        <w:rPr>
          <w:rFonts w:ascii="Book Antiqua" w:hAnsi="Book Antiqua" w:cs="Times New Roman"/>
          <w:i/>
          <w:lang w:val="en-US"/>
        </w:rPr>
        <w:t>denial induced forgetting</w:t>
      </w:r>
      <w:r w:rsidR="004F2D26" w:rsidRPr="001B21F0">
        <w:rPr>
          <w:rFonts w:ascii="Book Antiqua" w:hAnsi="Book Antiqua" w:cs="Times New Roman"/>
          <w:i/>
          <w:lang w:val="en-US"/>
        </w:rPr>
        <w:t xml:space="preserve"> (DIF</w:t>
      </w:r>
      <w:r w:rsidR="005576CE" w:rsidRPr="001B21F0">
        <w:rPr>
          <w:rFonts w:ascii="Book Antiqua" w:hAnsi="Book Antiqua" w:cs="Times New Roman"/>
          <w:i/>
          <w:lang w:val="en-US"/>
        </w:rPr>
        <w:t>)</w:t>
      </w:r>
      <w:r w:rsidR="005576CE" w:rsidRPr="001B21F0">
        <w:rPr>
          <w:rFonts w:ascii="Book Antiqua" w:hAnsi="Book Antiqua" w:cs="Times New Roman"/>
          <w:lang w:val="en-US"/>
        </w:rPr>
        <w:t>,</w:t>
      </w:r>
      <w:r w:rsidR="005576CE" w:rsidRPr="001B21F0">
        <w:rPr>
          <w:rFonts w:ascii="Book Antiqua" w:hAnsi="Book Antiqua" w:cs="Times New Roman"/>
          <w:i/>
          <w:lang w:val="en-US"/>
        </w:rPr>
        <w:t xml:space="preserve"> </w:t>
      </w:r>
      <w:r w:rsidR="005576CE" w:rsidRPr="001B21F0">
        <w:rPr>
          <w:rFonts w:ascii="Book Antiqua" w:hAnsi="Book Antiqua" w:cs="Times New Roman"/>
          <w:lang w:val="en-US"/>
        </w:rPr>
        <w:t>t</w:t>
      </w:r>
      <w:r w:rsidRPr="001B21F0">
        <w:rPr>
          <w:rFonts w:ascii="Book Antiqua" w:hAnsi="Book Antiqua" w:cs="Times New Roman"/>
          <w:lang w:val="en-US"/>
        </w:rPr>
        <w:t xml:space="preserve">hat is, being instructed to deny details in the first interview </w:t>
      </w:r>
      <w:r w:rsidR="0024422A" w:rsidRPr="001B21F0">
        <w:rPr>
          <w:rFonts w:ascii="Book Antiqua" w:hAnsi="Book Antiqua" w:cs="Times New Roman"/>
          <w:lang w:val="en-US"/>
        </w:rPr>
        <w:t xml:space="preserve">caused </w:t>
      </w:r>
      <w:r w:rsidRPr="001B21F0">
        <w:rPr>
          <w:rFonts w:ascii="Book Antiqua" w:hAnsi="Book Antiqua" w:cs="Times New Roman"/>
          <w:lang w:val="en-US"/>
        </w:rPr>
        <w:t xml:space="preserve">participants in the false denial condition to forget speaking to an interviewer about the details. Acknowledging the distinct cognitive processes that underpin different facets </w:t>
      </w:r>
      <w:r w:rsidRPr="001B21F0">
        <w:rPr>
          <w:rFonts w:ascii="Book Antiqua" w:hAnsi="Book Antiqua" w:cs="Times New Roman"/>
          <w:lang w:val="en-US"/>
        </w:rPr>
        <w:t>of memory, a follow-up study was conducted to ascertain whether</w:t>
      </w:r>
      <w:r w:rsidR="004F2D26" w:rsidRPr="001B21F0">
        <w:rPr>
          <w:rFonts w:ascii="Book Antiqua" w:hAnsi="Book Antiqua" w:cs="Times New Roman"/>
          <w:lang w:val="en-US"/>
        </w:rPr>
        <w:t xml:space="preserve"> the </w:t>
      </w:r>
      <w:r w:rsidRPr="001B21F0">
        <w:rPr>
          <w:rFonts w:ascii="Book Antiqua" w:hAnsi="Book Antiqua" w:cs="Times New Roman"/>
          <w:lang w:val="en-US"/>
        </w:rPr>
        <w:t xml:space="preserve">DIF that was observed in previous memory studies would be replicated when demands were placed on </w:t>
      </w:r>
      <w:r w:rsidR="0024422A" w:rsidRPr="001B21F0">
        <w:rPr>
          <w:rFonts w:ascii="Book Antiqua" w:hAnsi="Book Antiqua" w:cs="Times New Roman"/>
          <w:lang w:val="en-US"/>
        </w:rPr>
        <w:t xml:space="preserve">the ability to </w:t>
      </w:r>
      <w:r w:rsidRPr="001B21F0">
        <w:rPr>
          <w:rFonts w:ascii="Book Antiqua" w:hAnsi="Book Antiqua" w:cs="Times New Roman"/>
          <w:lang w:val="en-US"/>
        </w:rPr>
        <w:t>recall</w:t>
      </w:r>
      <w:r w:rsidR="0024422A" w:rsidRPr="001B21F0">
        <w:rPr>
          <w:rFonts w:ascii="Book Antiqua" w:hAnsi="Book Antiqua" w:cs="Times New Roman"/>
          <w:lang w:val="en-US"/>
        </w:rPr>
        <w:t xml:space="preserve"> information</w:t>
      </w:r>
      <w:r w:rsidRPr="001B21F0">
        <w:rPr>
          <w:rFonts w:ascii="Book Antiqua" w:hAnsi="Book Antiqua" w:cs="Times New Roman"/>
          <w:lang w:val="en-US"/>
        </w:rPr>
        <w:t xml:space="preserve">. </w:t>
      </w:r>
      <w:proofErr w:type="spellStart"/>
      <w:r w:rsidRPr="001B21F0">
        <w:rPr>
          <w:rFonts w:ascii="Book Antiqua" w:hAnsi="Book Antiqua" w:cs="Times New Roman"/>
          <w:lang w:val="en-US"/>
        </w:rPr>
        <w:t>Otgaar</w:t>
      </w:r>
      <w:proofErr w:type="spellEnd"/>
      <w:r w:rsidRPr="001B21F0">
        <w:rPr>
          <w:rFonts w:ascii="Book Antiqua" w:hAnsi="Book Antiqua" w:cs="Times New Roman"/>
          <w:lang w:val="en-US"/>
        </w:rPr>
        <w:t xml:space="preserve">, Romeo, </w:t>
      </w:r>
      <w:proofErr w:type="spellStart"/>
      <w:r w:rsidRPr="001B21F0">
        <w:rPr>
          <w:rFonts w:ascii="Book Antiqua" w:hAnsi="Book Antiqua" w:cs="Times New Roman"/>
          <w:lang w:val="en-US"/>
        </w:rPr>
        <w:t>Ramakers</w:t>
      </w:r>
      <w:proofErr w:type="spellEnd"/>
      <w:r w:rsidR="005576CE" w:rsidRPr="001B21F0">
        <w:rPr>
          <w:rFonts w:ascii="Book Antiqua" w:hAnsi="Book Antiqua" w:cs="Times New Roman"/>
          <w:lang w:val="en-US"/>
        </w:rPr>
        <w:t>,</w:t>
      </w:r>
      <w:r w:rsidRPr="001B21F0">
        <w:rPr>
          <w:rFonts w:ascii="Book Antiqua" w:hAnsi="Book Antiqua" w:cs="Times New Roman"/>
          <w:lang w:val="en-US"/>
        </w:rPr>
        <w:t xml:space="preserve"> and Howe (</w:t>
      </w:r>
      <w:r w:rsidR="00C73123" w:rsidRPr="001B21F0">
        <w:rPr>
          <w:rFonts w:ascii="Book Antiqua" w:hAnsi="Book Antiqua" w:cs="Times New Roman"/>
          <w:lang w:val="en-US"/>
        </w:rPr>
        <w:t>2017</w:t>
      </w:r>
      <w:r w:rsidRPr="001B21F0">
        <w:rPr>
          <w:rFonts w:ascii="Book Antiqua" w:hAnsi="Book Antiqua" w:cs="Times New Roman"/>
          <w:lang w:val="en-US"/>
        </w:rPr>
        <w:t xml:space="preserve">) conducted a study </w:t>
      </w:r>
      <w:r w:rsidR="005576CE" w:rsidRPr="001B21F0">
        <w:rPr>
          <w:rFonts w:ascii="Book Antiqua" w:hAnsi="Book Antiqua" w:cs="Times New Roman"/>
          <w:lang w:val="en-US"/>
        </w:rPr>
        <w:t xml:space="preserve">in which </w:t>
      </w:r>
      <w:r w:rsidRPr="001B21F0">
        <w:rPr>
          <w:rFonts w:ascii="Book Antiqua" w:hAnsi="Book Antiqua" w:cs="Times New Roman"/>
          <w:lang w:val="en-US"/>
        </w:rPr>
        <w:t>participants viewed a video of a theft and</w:t>
      </w:r>
      <w:r w:rsidR="005576CE" w:rsidRPr="001B21F0">
        <w:rPr>
          <w:rFonts w:ascii="Book Antiqua" w:hAnsi="Book Antiqua" w:cs="Times New Roman"/>
          <w:lang w:val="en-US"/>
        </w:rPr>
        <w:t xml:space="preserve"> were</w:t>
      </w:r>
      <w:r w:rsidRPr="001B21F0">
        <w:rPr>
          <w:rFonts w:ascii="Book Antiqua" w:hAnsi="Book Antiqua" w:cs="Times New Roman"/>
          <w:lang w:val="en-US"/>
        </w:rPr>
        <w:t xml:space="preserve"> then subsequently either instructed to tell the truth or deny that they had seen specific details. One day later, half of the participants (from both the control and denial groups) completed either a source monitoring recognition task or a </w:t>
      </w:r>
      <w:r w:rsidR="00C310C4" w:rsidRPr="001B21F0">
        <w:rPr>
          <w:rFonts w:ascii="Book Antiqua" w:hAnsi="Book Antiqua" w:cs="Times New Roman"/>
          <w:lang w:val="en-US"/>
        </w:rPr>
        <w:t>free recall task. In the experi</w:t>
      </w:r>
      <w:r w:rsidRPr="001B21F0">
        <w:rPr>
          <w:rFonts w:ascii="Book Antiqua" w:hAnsi="Book Antiqua" w:cs="Times New Roman"/>
          <w:lang w:val="en-US"/>
        </w:rPr>
        <w:t>mental group, results showed that DIF was evident for details discussed in the first session</w:t>
      </w:r>
      <w:r w:rsidR="005576CE" w:rsidRPr="001B21F0">
        <w:rPr>
          <w:rFonts w:ascii="Book Antiqua" w:hAnsi="Book Antiqua" w:cs="Times New Roman"/>
          <w:lang w:val="en-US"/>
        </w:rPr>
        <w:t xml:space="preserve"> among the</w:t>
      </w:r>
      <w:r w:rsidRPr="001B21F0">
        <w:rPr>
          <w:rFonts w:ascii="Book Antiqua" w:hAnsi="Book Antiqua" w:cs="Times New Roman"/>
          <w:lang w:val="en-US"/>
        </w:rPr>
        <w:t xml:space="preserve"> participants who </w:t>
      </w:r>
      <w:r w:rsidR="00735C5A" w:rsidRPr="001B21F0">
        <w:rPr>
          <w:rFonts w:ascii="Book Antiqua" w:hAnsi="Book Antiqua" w:cs="Times New Roman"/>
          <w:lang w:val="en-US"/>
        </w:rPr>
        <w:t xml:space="preserve">completed </w:t>
      </w:r>
      <w:r w:rsidRPr="001B21F0">
        <w:rPr>
          <w:rFonts w:ascii="Book Antiqua" w:hAnsi="Book Antiqua" w:cs="Times New Roman"/>
          <w:lang w:val="en-US"/>
        </w:rPr>
        <w:t>both the source monitoring and free recall tasks in session two</w:t>
      </w:r>
      <w:r w:rsidR="005576CE" w:rsidRPr="001B21F0">
        <w:rPr>
          <w:rFonts w:ascii="Book Antiqua" w:hAnsi="Book Antiqua" w:cs="Times New Roman"/>
          <w:lang w:val="en-US"/>
        </w:rPr>
        <w:t>,</w:t>
      </w:r>
      <w:r w:rsidRPr="001B21F0">
        <w:rPr>
          <w:rFonts w:ascii="Book Antiqua" w:hAnsi="Book Antiqua" w:cs="Times New Roman"/>
          <w:lang w:val="en-US"/>
        </w:rPr>
        <w:t xml:space="preserve"> while </w:t>
      </w:r>
      <w:r w:rsidR="005576CE" w:rsidRPr="001B21F0">
        <w:rPr>
          <w:rFonts w:ascii="Book Antiqua" w:hAnsi="Book Antiqua" w:cs="Times New Roman"/>
          <w:lang w:val="en-US"/>
        </w:rPr>
        <w:t xml:space="preserve">their </w:t>
      </w:r>
      <w:r w:rsidRPr="001B21F0">
        <w:rPr>
          <w:rFonts w:ascii="Book Antiqua" w:hAnsi="Book Antiqua" w:cs="Times New Roman"/>
          <w:lang w:val="en-US"/>
        </w:rPr>
        <w:t xml:space="preserve">memory for details seen in the theft video was not impaired. </w:t>
      </w:r>
    </w:p>
    <w:p w14:paraId="1DE71BCE" w14:textId="77777777" w:rsidR="00EC4C45" w:rsidRPr="001B21F0" w:rsidRDefault="00EC4C45" w:rsidP="00760964">
      <w:pPr>
        <w:spacing w:after="0" w:line="240" w:lineRule="auto"/>
        <w:rPr>
          <w:rFonts w:ascii="Book Antiqua" w:hAnsi="Book Antiqua" w:cs="Times New Roman"/>
          <w:b/>
          <w:lang w:val="en-US"/>
        </w:rPr>
      </w:pPr>
    </w:p>
    <w:p w14:paraId="006456F1" w14:textId="104E10CC" w:rsidR="00D4694C" w:rsidRPr="001B21F0" w:rsidRDefault="00D4694C" w:rsidP="00760964">
      <w:pPr>
        <w:spacing w:after="0" w:line="240" w:lineRule="auto"/>
        <w:rPr>
          <w:rFonts w:ascii="Book Antiqua" w:hAnsi="Book Antiqua" w:cs="Times New Roman"/>
          <w:b/>
          <w:lang w:val="en-US"/>
        </w:rPr>
      </w:pPr>
      <w:r w:rsidRPr="001B21F0">
        <w:rPr>
          <w:rFonts w:ascii="Book Antiqua" w:hAnsi="Book Antiqua" w:cs="Times New Roman"/>
          <w:b/>
          <w:lang w:val="en-US"/>
        </w:rPr>
        <w:t>Discussion and Future Directions</w:t>
      </w:r>
    </w:p>
    <w:p w14:paraId="2E6C63FE" w14:textId="77777777" w:rsidR="00760964" w:rsidRPr="001B21F0" w:rsidRDefault="00760964" w:rsidP="00760964">
      <w:pPr>
        <w:spacing w:after="0" w:line="240" w:lineRule="auto"/>
        <w:jc w:val="both"/>
        <w:rPr>
          <w:rFonts w:ascii="Book Antiqua" w:hAnsi="Book Antiqua" w:cs="Times New Roman"/>
          <w:lang w:val="en-US"/>
        </w:rPr>
      </w:pPr>
    </w:p>
    <w:p w14:paraId="24680E81" w14:textId="222D021C" w:rsidR="00D4694C" w:rsidRPr="001B21F0" w:rsidRDefault="005576CE" w:rsidP="00760964">
      <w:pPr>
        <w:spacing w:after="0" w:line="240" w:lineRule="auto"/>
        <w:jc w:val="both"/>
        <w:rPr>
          <w:rFonts w:ascii="Book Antiqua" w:hAnsi="Book Antiqua" w:cs="Times New Roman"/>
          <w:lang w:val="en-US"/>
        </w:rPr>
      </w:pPr>
      <w:r w:rsidRPr="001B21F0">
        <w:rPr>
          <w:rFonts w:ascii="Book Antiqua" w:hAnsi="Book Antiqua" w:cs="Times New Roman"/>
          <w:lang w:val="en-US"/>
        </w:rPr>
        <w:t>T</w:t>
      </w:r>
      <w:r w:rsidR="00D4694C" w:rsidRPr="001B21F0">
        <w:rPr>
          <w:rFonts w:ascii="Book Antiqua" w:hAnsi="Book Antiqua" w:cs="Times New Roman"/>
          <w:lang w:val="en-US"/>
        </w:rPr>
        <w:t xml:space="preserve">o avoid the </w:t>
      </w:r>
      <w:r w:rsidR="00396A79" w:rsidRPr="001B21F0">
        <w:rPr>
          <w:rFonts w:ascii="Book Antiqua" w:hAnsi="Book Antiqua" w:cs="Times New Roman"/>
          <w:lang w:val="en-US"/>
        </w:rPr>
        <w:t xml:space="preserve">distressing </w:t>
      </w:r>
      <w:r w:rsidR="00D4694C" w:rsidRPr="001B21F0">
        <w:rPr>
          <w:rFonts w:ascii="Book Antiqua" w:hAnsi="Book Antiqua" w:cs="Times New Roman"/>
          <w:lang w:val="en-US"/>
        </w:rPr>
        <w:t>realities that are synonymous with sexual abuse, we have seen that</w:t>
      </w:r>
      <w:r w:rsidR="00B4098B" w:rsidRPr="001B21F0">
        <w:rPr>
          <w:rFonts w:ascii="Book Antiqua" w:hAnsi="Book Antiqua" w:cs="Times New Roman"/>
          <w:lang w:val="en-US"/>
        </w:rPr>
        <w:t xml:space="preserve"> victims of</w:t>
      </w:r>
      <w:r w:rsidR="00D4694C" w:rsidRPr="001B21F0">
        <w:rPr>
          <w:rFonts w:ascii="Book Antiqua" w:hAnsi="Book Antiqua" w:cs="Times New Roman"/>
          <w:lang w:val="en-US"/>
        </w:rPr>
        <w:t xml:space="preserve"> CSA</w:t>
      </w:r>
      <w:r w:rsidR="00B4098B" w:rsidRPr="001B21F0">
        <w:rPr>
          <w:rFonts w:ascii="Book Antiqua" w:hAnsi="Book Antiqua" w:cs="Times New Roman"/>
          <w:lang w:val="en-US"/>
        </w:rPr>
        <w:t xml:space="preserve"> </w:t>
      </w:r>
      <w:r w:rsidR="00D4694C" w:rsidRPr="001B21F0">
        <w:rPr>
          <w:rFonts w:ascii="Book Antiqua" w:hAnsi="Book Antiqua" w:cs="Times New Roman"/>
          <w:lang w:val="en-US"/>
        </w:rPr>
        <w:t>can use one or more cognitive strategies. While such strategies may serve a protective role (for the child or the perpetrator) initially, many problems may arise as a consequence. For instance, if a victim (who in theory is also a primary witness to alleged sexual abuse) is unable to affirm or confirm the occurrence of abuse</w:t>
      </w:r>
      <w:r w:rsidRPr="001B21F0">
        <w:rPr>
          <w:rFonts w:ascii="Book Antiqua" w:hAnsi="Book Antiqua" w:cs="Times New Roman"/>
          <w:lang w:val="en-US"/>
        </w:rPr>
        <w:t>, then</w:t>
      </w:r>
      <w:r w:rsidR="00D4694C" w:rsidRPr="001B21F0">
        <w:rPr>
          <w:rFonts w:ascii="Book Antiqua" w:hAnsi="Book Antiqua" w:cs="Times New Roman"/>
          <w:lang w:val="en-US"/>
        </w:rPr>
        <w:t xml:space="preserve"> the legal prosecution of perpetrators may become an extremely arduous task </w:t>
      </w:r>
      <w:r w:rsidR="00D4694C" w:rsidRPr="001B21F0">
        <w:rPr>
          <w:rFonts w:ascii="Book Antiqua" w:hAnsi="Book Antiqua" w:cs="Times New Roman"/>
          <w:lang w:val="en-US"/>
        </w:rPr>
        <w:fldChar w:fldCharType="begin" w:fldLock="1"/>
      </w:r>
      <w:r w:rsidR="00D4694C" w:rsidRPr="001B21F0">
        <w:rPr>
          <w:rFonts w:ascii="Book Antiqua" w:hAnsi="Book Antiqua" w:cs="Times New Roman"/>
          <w:lang w:val="en-US"/>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 ] }, "page" : "271-295", "title" : "Factors influencing children to self-disclose sexual abuse", "type" : "article-journal", "volume" : "22" }, "uris" : [ "http://www.mendeley.com/documents/?uuid=dbb3a38c-ca97-3fe6-85af-1d970806ae00" ] } ], "mendeley" : { "formattedCitation" : "(Paine &amp; Hansen, 2002b)", "plainTextFormattedCitation" : "(Paine &amp; Hansen, 2002b)", "previouslyFormattedCitation" : "(Paine &amp; Hansen, 2002b)" }, "properties" : { "noteIndex" : 0 }, "schema" : "https://github.com/citation-style-language/schema/raw/master/csl-citation.json" }</w:instrText>
      </w:r>
      <w:r w:rsidR="00D4694C" w:rsidRPr="001B21F0">
        <w:rPr>
          <w:rFonts w:ascii="Book Antiqua" w:hAnsi="Book Antiqua" w:cs="Times New Roman"/>
          <w:lang w:val="en-US"/>
        </w:rPr>
        <w:fldChar w:fldCharType="separate"/>
      </w:r>
      <w:r w:rsidR="00D4694C" w:rsidRPr="001B21F0">
        <w:rPr>
          <w:rFonts w:ascii="Book Antiqua" w:hAnsi="Book Antiqua" w:cs="Times New Roman"/>
          <w:noProof/>
          <w:lang w:val="en-US"/>
        </w:rPr>
        <w:t>(Paine &amp; Hansen, 2002)</w:t>
      </w:r>
      <w:r w:rsidR="00D4694C" w:rsidRPr="001B21F0">
        <w:rPr>
          <w:rFonts w:ascii="Book Antiqua" w:hAnsi="Book Antiqua" w:cs="Times New Roman"/>
          <w:lang w:val="en-US"/>
        </w:rPr>
        <w:fldChar w:fldCharType="end"/>
      </w:r>
      <w:r w:rsidR="00D4694C" w:rsidRPr="001B21F0">
        <w:rPr>
          <w:rFonts w:ascii="Book Antiqua" w:hAnsi="Book Antiqua" w:cs="Times New Roman"/>
          <w:lang w:val="en-US"/>
        </w:rPr>
        <w:t xml:space="preserve">. </w:t>
      </w:r>
    </w:p>
    <w:p w14:paraId="4701321F" w14:textId="71427327" w:rsidR="00D4694C" w:rsidRPr="001B21F0" w:rsidRDefault="00D4694C" w:rsidP="00C41F6B">
      <w:pPr>
        <w:spacing w:after="0" w:line="240" w:lineRule="auto"/>
        <w:ind w:firstLine="284"/>
        <w:jc w:val="both"/>
        <w:rPr>
          <w:rFonts w:ascii="Book Antiqua" w:hAnsi="Book Antiqua" w:cs="Times New Roman"/>
          <w:lang w:val="en-US"/>
        </w:rPr>
      </w:pPr>
      <w:r w:rsidRPr="001B21F0">
        <w:rPr>
          <w:rFonts w:ascii="Book Antiqua" w:hAnsi="Book Antiqua" w:cs="Times New Roman"/>
          <w:lang w:val="en-US"/>
        </w:rPr>
        <w:t xml:space="preserve">Some victims may vehemently deny that any sexual violation occurred </w:t>
      </w:r>
      <w:r w:rsidR="00B4098B" w:rsidRPr="001B21F0">
        <w:rPr>
          <w:rFonts w:ascii="Book Antiqua" w:hAnsi="Book Antiqua" w:cs="Times New Roman"/>
          <w:lang w:val="en-US"/>
        </w:rPr>
        <w:t xml:space="preserve">even though </w:t>
      </w:r>
      <w:r w:rsidR="005576CE" w:rsidRPr="001B21F0">
        <w:rPr>
          <w:rFonts w:ascii="Book Antiqua" w:hAnsi="Book Antiqua" w:cs="Times New Roman"/>
          <w:lang w:val="en-US"/>
        </w:rPr>
        <w:t xml:space="preserve">they are </w:t>
      </w:r>
      <w:r w:rsidRPr="001B21F0">
        <w:rPr>
          <w:rFonts w:ascii="Book Antiqua" w:hAnsi="Book Antiqua" w:cs="Times New Roman"/>
          <w:lang w:val="en-US"/>
        </w:rPr>
        <w:t xml:space="preserve">fully cognizant of the incident. In terms of motivations, the specific impetus of falsely denying sexual abuse may be feelings of guilt by victims or simply being instructed by the perpetrator to lie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"10.1016/0145-2134(95)00017-3", "ISBN" : "0145-2134", "ISSN" : "0145-2134", "PMID" : "7664138", "abstract" : "Ninety-one child sex offenders were interviewed about the methods they used to target children, the age range of their victims, how they selected children and maintained them as victims, and what suggestions they had for preventing child sexual abuse. Offenders were selected from treatment programs, probation, special hospitals, and prisons. They were interviewed using a semi-structured questionnaire. Results indicate that offenders gained access to children through caretaking, such as babysitting; targeted children by using bribes, gifts and games; used force, anger, threats, and bribes to ensure their continuing compliance; and systematically desensitized children through touch, talk about sex, and persuasion. Nearly half the offenders had no bad feelings about sexually abusing children. The implications for prevention programs are discussed.", "author" : [ { "dropping-particle" : "", "family" : "Elliott", "given" : "M", "non-dropping-particle" : "", "parse-names" : false, "suffix" : "" }, { "dropping-particle" : "", "family" : "Browne", "given" : "K", "non-dropping-particle" : "", "parse-names" : false, "suffix" : "" }, { "dropping-particle" : "", "family" : "Kilcoyne", "given" : "J", "non-dropping-particle" : "", "parse-names" : false, "suffix" : "" } ], "container-title" : "Child abuse &amp; neglect", "id" : "ITEM-1", "issue" : "5", "issued" : { "date-parts" : [ [ "1995" ] ] }, "page" : "579-94", "title" : "Child sexual abuse prevention: what offenders tell us.", "type" : "article-journal", "volume" : "19" }, "uris" : [ "http://www.mendeley.com/documents/?uuid=034f5323-756b-47e0-ac7f-a2ebe0584063" ] } ], "mendeley" : { "formattedCitation" : "(M. Elliott et al., 1995)", "manualFormatting" : "(Elliott et al., 1995", "plainTextFormattedCitation" : "(M. Elliott et al., 1995)", "previouslyFormattedCitation" : "(M. Elliott et al., 1995)"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(Elliott et al., 1995</w:t>
      </w:r>
      <w:r w:rsidRPr="001B21F0">
        <w:rPr>
          <w:rFonts w:ascii="Book Antiqua" w:hAnsi="Book Antiqua" w:cs="Times New Roman"/>
          <w:lang w:val="en-US"/>
        </w:rPr>
        <w:fldChar w:fldCharType="end"/>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 ] }, "page" : "271-295", "title" : "Factors influencing children to self-disclose sexual abuse", "type" : "article-journal", "volume" : "22" }, "uris" : [ "http://www.mendeley.com/documents/?uuid=dbb3a38c-ca97-3fe6-85af-1d970806ae00" ] } ], "mendeley" : { "formattedCitation" : "(Paine &amp; Hansen, 2002b)", "manualFormatting" : "; Paine &amp; Hansen, 2002b)", "plainTextFormattedCitation" : "(Paine &amp; Hansen, 2002b)", "previouslyFormattedCitation" : "(Paine &amp; Hansen, 2002b)"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 Paine &amp; Hansen, 2002)</w:t>
      </w:r>
      <w:r w:rsidRPr="001B21F0">
        <w:rPr>
          <w:rFonts w:ascii="Book Antiqua" w:hAnsi="Book Antiqua" w:cs="Times New Roman"/>
          <w:lang w:val="en-US"/>
        </w:rPr>
        <w:fldChar w:fldCharType="end"/>
      </w:r>
      <w:r w:rsidRPr="001B21F0">
        <w:rPr>
          <w:rFonts w:ascii="Book Antiqua" w:hAnsi="Book Antiqua" w:cs="Times New Roman"/>
          <w:lang w:val="en-US"/>
        </w:rPr>
        <w:t xml:space="preserve">. As it stands, more focus has been placed on understanding false positive errors such as false allegations </w:t>
      </w:r>
      <w:r w:rsidR="0053355E" w:rsidRPr="001B21F0">
        <w:rPr>
          <w:rFonts w:ascii="Book Antiqua" w:hAnsi="Book Antiqua" w:cs="Times New Roman"/>
          <w:lang w:val="en-US"/>
        </w:rPr>
        <w:t xml:space="preserve">(e.g., Ost, 2016) </w:t>
      </w:r>
      <w:r w:rsidRPr="001B21F0">
        <w:rPr>
          <w:rFonts w:ascii="Book Antiqua" w:hAnsi="Book Antiqua" w:cs="Times New Roman"/>
          <w:lang w:val="en-US"/>
        </w:rPr>
        <w:t>of sexual abuse</w:t>
      </w:r>
      <w:r w:rsidR="00B4098B" w:rsidRPr="001B21F0">
        <w:rPr>
          <w:rFonts w:ascii="Book Antiqua" w:hAnsi="Book Antiqua" w:cs="Times New Roman"/>
          <w:lang w:val="en-US"/>
        </w:rPr>
        <w:t>,</w:t>
      </w:r>
      <w:r w:rsidRPr="001B21F0">
        <w:rPr>
          <w:rFonts w:ascii="Book Antiqua" w:hAnsi="Book Antiqua" w:cs="Times New Roman"/>
          <w:lang w:val="en-US"/>
        </w:rPr>
        <w:t xml:space="preserve"> to the neglect of false denial effect explication,</w:t>
      </w:r>
      <w:r w:rsidR="00B4098B" w:rsidRPr="001B21F0">
        <w:rPr>
          <w:rFonts w:ascii="Book Antiqua" w:hAnsi="Book Antiqua" w:cs="Times New Roman"/>
          <w:lang w:val="en-US"/>
        </w:rPr>
        <w:t xml:space="preserve"> thereby</w:t>
      </w:r>
      <w:r w:rsidRPr="001B21F0">
        <w:rPr>
          <w:rFonts w:ascii="Book Antiqua" w:hAnsi="Book Antiqua" w:cs="Times New Roman"/>
          <w:lang w:val="en-US"/>
        </w:rPr>
        <w:t xml:space="preserve"> making it an insufficiently understood phenomenon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"10.1080/09515079808254039", "ISSN" : "0951-5070", "abstract" : "Abstract An information processing analysis is presented of the concept of denial. Different stages are identified where denial may be enacted. A consideration of the locus of denial can prevent misclassification and have therapeutic implications Abstract An information processing analysis is presented of the concept of denial. Different stages are identified where denial may be enacted. A consideration of the locus of denial can prevent misclassification and have therapeutic implications", "author" : [ { "dropping-particle" : "", "family" : "Manousos", "given" : "I. R.", "non-dropping-particle" : "", "parse-names" : false, "suffix" : "" }, { "dropping-particle" : "", "family" : "Williams", "given" : "D. I.", "non-dropping-particle" : "", "parse-names" : false, "suffix" : "" } ], "container-title" : "Counselling Psychology Quarterly", "id" : "ITEM-1", "issue" : "1", "issued" : { "date-parts" : [ [ "1998" ] ] }, "page" : "15-22", "title" : "The locus of denial", "type" : "article-journal", "volume" : "11" }, "uris" : [ "http://www.mendeley.com/documents/?uuid=42277ef9-bf21-4b13-8452-299145852775" ] } ], "mendeley" : { "formattedCitation" : "(Manousos &amp; Williams, 1998)", "manualFormatting" : "(Manousos &amp; Williams, 1998;", "plainTextFormattedCitation" : "(Manousos &amp; Williams, 1998)", "previouslyFormattedCitation" : "(Manousos &amp; Williams, 1998)"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(Manousos &amp; Williams, 1998;</w:t>
      </w:r>
      <w:r w:rsidRPr="001B21F0">
        <w:rPr>
          <w:rFonts w:ascii="Book Antiqua" w:hAnsi="Book Antiqua" w:cs="Times New Roman"/>
          <w:lang w:val="en-US"/>
        </w:rPr>
        <w:fldChar w:fldCharType="end"/>
      </w:r>
      <w:r w:rsidRPr="001B21F0">
        <w:rPr>
          <w:rFonts w:ascii="Book Antiqua" w:hAnsi="Book Antiqua" w:cs="Times New Roman"/>
          <w:lang w:val="en-US"/>
        </w:rPr>
        <w:t xml:space="preserve">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et al., 2016)", "plainTextFormattedCitation" : "(Otgaar et al., 2016)", "previouslyFormattedCitation" : "(Otgaar et al., 2016)"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lang w:val="en-US"/>
        </w:rPr>
        <w:t>Otgaar et al., 2016)</w:t>
      </w:r>
      <w:r w:rsidRPr="001B21F0">
        <w:rPr>
          <w:rFonts w:ascii="Book Antiqua" w:hAnsi="Book Antiqua" w:cs="Times New Roman"/>
          <w:lang w:val="en-US"/>
        </w:rPr>
        <w:fldChar w:fldCharType="end"/>
      </w:r>
      <w:r w:rsidRPr="001B21F0">
        <w:rPr>
          <w:rFonts w:ascii="Book Antiqua" w:hAnsi="Book Antiqua" w:cs="Times New Roman"/>
          <w:lang w:val="en-US"/>
        </w:rPr>
        <w:t xml:space="preserve">. The validity of </w:t>
      </w:r>
      <w:r w:rsidR="00847F97" w:rsidRPr="001B21F0">
        <w:rPr>
          <w:rFonts w:ascii="Book Antiqua" w:hAnsi="Book Antiqua" w:cs="Times New Roman"/>
          <w:lang w:val="en-US"/>
        </w:rPr>
        <w:t xml:space="preserve">the need to increase </w:t>
      </w:r>
      <w:r w:rsidRPr="001B21F0">
        <w:rPr>
          <w:rFonts w:ascii="Book Antiqua" w:hAnsi="Book Antiqua" w:cs="Times New Roman"/>
          <w:lang w:val="en-US"/>
        </w:rPr>
        <w:t>efforts to understand</w:t>
      </w:r>
      <w:r w:rsidR="00847F97" w:rsidRPr="001B21F0">
        <w:rPr>
          <w:rFonts w:ascii="Book Antiqua" w:hAnsi="Book Antiqua" w:cs="Times New Roman"/>
          <w:lang w:val="en-US"/>
        </w:rPr>
        <w:t xml:space="preserve"> </w:t>
      </w:r>
      <w:r w:rsidRPr="001B21F0">
        <w:rPr>
          <w:rFonts w:ascii="Book Antiqua" w:hAnsi="Book Antiqua" w:cs="Times New Roman"/>
          <w:lang w:val="en-US"/>
        </w:rPr>
        <w:t xml:space="preserve">false denial beyond a mere definition or its existence </w:t>
      </w:r>
      <w:r w:rsidR="00C06771" w:rsidRPr="001B21F0">
        <w:rPr>
          <w:rFonts w:ascii="Book Antiqua" w:hAnsi="Book Antiqua" w:cs="Times New Roman"/>
          <w:lang w:val="en-US"/>
        </w:rPr>
        <w:t>has</w:t>
      </w:r>
      <w:r w:rsidRPr="001B21F0">
        <w:rPr>
          <w:rFonts w:ascii="Book Antiqua" w:hAnsi="Book Antiqua" w:cs="Times New Roman"/>
          <w:lang w:val="en-US"/>
        </w:rPr>
        <w:t xml:space="preserve"> been proven. </w:t>
      </w:r>
      <w:r w:rsidR="005576CE" w:rsidRPr="001B21F0">
        <w:rPr>
          <w:rFonts w:ascii="Book Antiqua" w:hAnsi="Book Antiqua" w:cs="Times New Roman"/>
          <w:lang w:val="en-US"/>
        </w:rPr>
        <w:t>T</w:t>
      </w:r>
      <w:r w:rsidRPr="001B21F0">
        <w:rPr>
          <w:rFonts w:ascii="Book Antiqua" w:hAnsi="Book Antiqua" w:cs="Times New Roman"/>
          <w:lang w:val="en-US"/>
        </w:rPr>
        <w:t xml:space="preserve">he few studies that have focused on false denial effects on later cognitive </w:t>
      </w:r>
      <w:r w:rsidRPr="001B21F0">
        <w:rPr>
          <w:rFonts w:ascii="Book Antiqua" w:hAnsi="Book Antiqua" w:cs="Times New Roman"/>
          <w:lang w:val="en-US"/>
        </w:rPr>
        <w:lastRenderedPageBreak/>
        <w:t xml:space="preserve">performance </w:t>
      </w:r>
      <w:r w:rsidR="005576CE" w:rsidRPr="001B21F0">
        <w:rPr>
          <w:rFonts w:ascii="Book Antiqua" w:hAnsi="Book Antiqua" w:cs="Times New Roman"/>
          <w:lang w:val="en-US"/>
        </w:rPr>
        <w:t xml:space="preserve">have </w:t>
      </w:r>
      <w:r w:rsidRPr="001B21F0">
        <w:rPr>
          <w:rFonts w:ascii="Book Antiqua" w:hAnsi="Book Antiqua" w:cs="Times New Roman"/>
          <w:lang w:val="en-US"/>
        </w:rPr>
        <w:t>shown that by rehearsing lies and falsely denying information</w:t>
      </w:r>
      <w:r w:rsidR="005576CE" w:rsidRPr="001B21F0">
        <w:rPr>
          <w:rFonts w:ascii="Book Antiqua" w:hAnsi="Book Antiqua" w:cs="Times New Roman"/>
          <w:lang w:val="en-US"/>
        </w:rPr>
        <w:t>,</w:t>
      </w:r>
      <w:r w:rsidRPr="001B21F0">
        <w:rPr>
          <w:rFonts w:ascii="Book Antiqua" w:hAnsi="Book Antiqua" w:cs="Times New Roman"/>
          <w:lang w:val="en-US"/>
        </w:rPr>
        <w:t xml:space="preserve"> people tend to have poor recall for the details of events (</w:t>
      </w:r>
      <w:r w:rsidRPr="001B21F0">
        <w:rPr>
          <w:rFonts w:ascii="Book Antiqua" w:hAnsi="Book Antiqua" w:cs="Times New Roman"/>
          <w:lang w:val="en-US"/>
        </w:rPr>
        <w:fldChar w:fldCharType="begin" w:fldLock="1"/>
      </w:r>
      <w:r w:rsidRPr="001B21F0">
        <w:rPr>
          <w:rFonts w:ascii="Book Antiqua" w:hAnsi="Book Antiqua" w:cs="Times New Roman"/>
          <w:lang w:val="en-US"/>
        </w:rPr>
        <w:instrText>ADDIN CSL_CITATION { "citationItems" : [ { "id" : "ITEM-1", "itemData" : { "DOI" : "10.1002/bsl.2148", "ISSN" : "1099-0798", "PMID" : "25418787", "abstract" : "The current experiment was designed to assess the mnemonic consequences of false denials and forced confabulations. Children (aged 6-8 and 10-12 years) and adults viewed a video and then their memory and belief about the event were tested. Participants were then divided into three groups. In the \"cued recall\" condition, participants were asked to answer true- and false-event questions, but could choose not to respond if they did not know the answer. In the \"forced confabulation\" group, participants received the same set of questions, but were forced to answer all of them. In the \"false denial\" group, participants were instructed to falsely deny in response to each question. One week later, participants received a source memory test, and they had to provide memory and belief ratings once more. Forced confabulations resulted in false memories in the youngest group. Moreover, our analyses showed that repeated false denials led children and adults to be highly inclined to falsely deny that they had talked to the experimenter about certain presented details, when in fact they had done so. Furthermore, false denial and non-believed memory rates were more pronounced in younger than in older children and adults. Our results imply that denying experienced events is n</w:instrText>
      </w:r>
      <w:r w:rsidRPr="001B21F0">
        <w:rPr>
          <w:rFonts w:ascii="Book Antiqua" w:hAnsi="Book Antiqua" w:cs="Times New Roman"/>
        </w:rPr>
        <w:instrText>ot a good strategy in an interviewing setting, as it adversely affects memory statements about the interview.", "author" : [ { "dropping-particle" : "", "family" : "Otgaar", "given" : "Henry", "non-dropping-particle" : "", "parse-names" : false, "suffix" : "" }, { "dropping-particle" : "", "family" : "Howe", "given" : "Mark L", "non-dropping-particle" : "", "parse-names" : false, "suffix" : "" }, { "dropping-particle" : "", "family" : "Memon", "given" : "Amina", "non-dropping-particle" : "", "parse-names" : false, "suffix" : "" }, { "dropping-particle" : "", "family" : "Wang", "given" : "Jianqin", "non-dropping-particle" : "", "parse-names" : false, "suffix" : "" } ], "container-title" : "Behavioral sciences &amp; the law", "id" : "ITEM-1", "issue" : "6", "issued" : { "date-parts" : [ [ "2014", "1", "1" ] ] }, "language" : "en", "page" : "718-31", "title" : "The development of differential mnemonic effects of false denials and forced confabulations.", "type" : "article-journal", "volume" : "32" }, "uris" : [ "http://www.mendeley.com/documents/?uuid=98869a8c-504c-4157-9c4a-3c3b1e33bfe2" ] } ], "mendeley" : { "formattedCitation" : "(Otgaar, Howe, Memon, &amp; Wang, 2014)", "manualFormatting" : "Otgaar et al., 2014;", "plainTextFormattedCitation" : "(Otgaar, Howe, Memon, &amp; Wang, 2014)", "previouslyFormattedCitation" : "(Otgaar, Howe, Memon, &amp; Wang, 2014)"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rPr>
        <w:t>Otgaar et al., 2014;</w:t>
      </w:r>
      <w:r w:rsidRPr="001B21F0">
        <w:rPr>
          <w:rFonts w:ascii="Book Antiqua" w:hAnsi="Book Antiqua" w:cs="Times New Roman"/>
          <w:lang w:val="en-US"/>
        </w:rPr>
        <w:fldChar w:fldCharType="end"/>
      </w:r>
      <w:r w:rsidRPr="001B21F0">
        <w:rPr>
          <w:rFonts w:ascii="Book Antiqua" w:hAnsi="Book Antiqua" w:cs="Times New Roman"/>
        </w:rPr>
        <w:t xml:space="preserve"> </w:t>
      </w:r>
      <w:r w:rsidRPr="001B21F0">
        <w:rPr>
          <w:rFonts w:ascii="Book Antiqua" w:hAnsi="Book Antiqua" w:cs="Times New Roman"/>
          <w:lang w:val="en-US"/>
        </w:rPr>
        <w:fldChar w:fldCharType="begin" w:fldLock="1"/>
      </w:r>
      <w:r w:rsidRPr="001B21F0">
        <w:rPr>
          <w:rFonts w:ascii="Book Antiqua" w:hAnsi="Book Antiqua" w:cs="Times New Roman"/>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et al., 2016)", "plainTextFormattedCitation" : "(Otgaar et al., 2016)", "previouslyFormattedCitation" : "(Otgaar et al., 2016)" }, "properties" : { "noteIndex" : 0 }, "schema" : "https://github.com/citation-style-language/schema/raw/master/csl-citation.json" }</w:instrText>
      </w:r>
      <w:r w:rsidRPr="001B21F0">
        <w:rPr>
          <w:rFonts w:ascii="Book Antiqua" w:hAnsi="Book Antiqua" w:cs="Times New Roman"/>
          <w:lang w:val="en-US"/>
        </w:rPr>
        <w:fldChar w:fldCharType="separate"/>
      </w:r>
      <w:r w:rsidRPr="001B21F0">
        <w:rPr>
          <w:rFonts w:ascii="Book Antiqua" w:hAnsi="Book Antiqua" w:cs="Times New Roman"/>
          <w:noProof/>
        </w:rPr>
        <w:t>Otgaar et al., 2016)</w:t>
      </w:r>
      <w:r w:rsidRPr="001B21F0">
        <w:rPr>
          <w:rFonts w:ascii="Book Antiqua" w:hAnsi="Book Antiqua" w:cs="Times New Roman"/>
          <w:lang w:val="en-US"/>
        </w:rPr>
        <w:fldChar w:fldCharType="end"/>
      </w:r>
      <w:r w:rsidRPr="001B21F0">
        <w:rPr>
          <w:rFonts w:ascii="Book Antiqua" w:hAnsi="Book Antiqua" w:cs="Times New Roman"/>
        </w:rPr>
        <w:t xml:space="preserve">. </w:t>
      </w:r>
      <w:r w:rsidRPr="001B21F0">
        <w:rPr>
          <w:rFonts w:ascii="Book Antiqua" w:hAnsi="Book Antiqua" w:cs="Times New Roman"/>
          <w:lang w:val="en-US"/>
        </w:rPr>
        <w:t>Stemming from the work of Otgaar and colleagues</w:t>
      </w:r>
      <w:r w:rsidR="005576CE" w:rsidRPr="001B21F0">
        <w:rPr>
          <w:rFonts w:ascii="Book Antiqua" w:hAnsi="Book Antiqua" w:cs="Times New Roman"/>
          <w:lang w:val="en-US"/>
        </w:rPr>
        <w:t xml:space="preserve">, in which </w:t>
      </w:r>
      <w:r w:rsidRPr="001B21F0">
        <w:rPr>
          <w:rFonts w:ascii="Book Antiqua" w:hAnsi="Book Antiqua" w:cs="Times New Roman"/>
          <w:lang w:val="en-US"/>
        </w:rPr>
        <w:t xml:space="preserve">participants were not allowed to initially choose how to respond in the experiment, we wondered how having such freedom of choice and then obstructing </w:t>
      </w:r>
      <w:r w:rsidR="00472333" w:rsidRPr="001B21F0">
        <w:rPr>
          <w:rFonts w:ascii="Book Antiqua" w:hAnsi="Book Antiqua" w:cs="Times New Roman"/>
          <w:lang w:val="en-US"/>
        </w:rPr>
        <w:t>its</w:t>
      </w:r>
      <w:r w:rsidRPr="001B21F0">
        <w:rPr>
          <w:rFonts w:ascii="Book Antiqua" w:hAnsi="Book Antiqua" w:cs="Times New Roman"/>
          <w:lang w:val="en-US"/>
        </w:rPr>
        <w:t xml:space="preserve"> use may also affect memory for event details. The aforementioned question </w:t>
      </w:r>
      <w:r w:rsidR="00403C50" w:rsidRPr="001B21F0">
        <w:rPr>
          <w:rFonts w:ascii="Book Antiqua" w:hAnsi="Book Antiqua" w:cs="Times New Roman"/>
          <w:lang w:val="en-US"/>
        </w:rPr>
        <w:t>inspired a recently concluded study that investigated the matter</w:t>
      </w:r>
      <w:r w:rsidR="00140563" w:rsidRPr="001B21F0">
        <w:rPr>
          <w:rFonts w:ascii="Book Antiqua" w:hAnsi="Book Antiqua" w:cs="Times New Roman"/>
          <w:lang w:val="en-US"/>
        </w:rPr>
        <w:t>.</w:t>
      </w:r>
      <w:r w:rsidR="00403C50" w:rsidRPr="001B21F0">
        <w:rPr>
          <w:rFonts w:ascii="Book Antiqua" w:hAnsi="Book Antiqua" w:cs="Times New Roman"/>
          <w:lang w:val="en-US"/>
        </w:rPr>
        <w:t xml:space="preserve"> </w:t>
      </w:r>
    </w:p>
    <w:p w14:paraId="13ECAD86" w14:textId="4DD6046E" w:rsidR="00D4694C" w:rsidRPr="001B21F0" w:rsidRDefault="00B4098B" w:rsidP="00C41F6B">
      <w:pPr>
        <w:spacing w:after="0" w:line="240" w:lineRule="auto"/>
        <w:ind w:firstLine="284"/>
        <w:jc w:val="both"/>
        <w:rPr>
          <w:rFonts w:ascii="Book Antiqua" w:hAnsi="Book Antiqua" w:cs="Times New Roman"/>
          <w:lang w:val="en-US"/>
        </w:rPr>
      </w:pPr>
      <w:r w:rsidRPr="001B21F0">
        <w:rPr>
          <w:rFonts w:ascii="Book Antiqua" w:hAnsi="Book Antiqua" w:cs="Times New Roman"/>
          <w:lang w:val="en-US"/>
        </w:rPr>
        <w:t>S</w:t>
      </w:r>
      <w:r w:rsidR="00D4694C" w:rsidRPr="001B21F0">
        <w:rPr>
          <w:rFonts w:ascii="Book Antiqua" w:hAnsi="Book Antiqua" w:cs="Times New Roman"/>
          <w:lang w:val="en-US"/>
        </w:rPr>
        <w:t xml:space="preserve">exual abuse of children can go undiscovered well into the victims’ adulthood because they falsely denied what happened to them amidst </w:t>
      </w:r>
      <w:r w:rsidR="00762136" w:rsidRPr="001B21F0">
        <w:rPr>
          <w:rFonts w:ascii="Book Antiqua" w:hAnsi="Book Antiqua" w:cs="Times New Roman"/>
          <w:lang w:val="en-US"/>
        </w:rPr>
        <w:t>suspicion</w:t>
      </w:r>
      <w:r w:rsidR="00D4694C" w:rsidRPr="001B21F0">
        <w:rPr>
          <w:rFonts w:ascii="Book Antiqua" w:hAnsi="Book Antiqua" w:cs="Times New Roman"/>
          <w:lang w:val="en-US"/>
        </w:rPr>
        <w:t xml:space="preserve"> of abuse or they simply never disclosed it. </w:t>
      </w:r>
      <w:r w:rsidR="005576CE" w:rsidRPr="001B21F0">
        <w:rPr>
          <w:rFonts w:ascii="Book Antiqua" w:hAnsi="Book Antiqua" w:cs="Times New Roman"/>
          <w:lang w:val="en-US"/>
        </w:rPr>
        <w:t>Another</w:t>
      </w:r>
      <w:r w:rsidR="00D4694C" w:rsidRPr="001B21F0">
        <w:rPr>
          <w:rFonts w:ascii="Book Antiqua" w:hAnsi="Book Antiqua" w:cs="Times New Roman"/>
          <w:lang w:val="en-US"/>
        </w:rPr>
        <w:t xml:space="preserve"> case </w:t>
      </w:r>
      <w:r w:rsidR="005576CE" w:rsidRPr="001B21F0">
        <w:rPr>
          <w:rFonts w:ascii="Book Antiqua" w:hAnsi="Book Antiqua" w:cs="Times New Roman"/>
          <w:lang w:val="en-US"/>
        </w:rPr>
        <w:t xml:space="preserve">is </w:t>
      </w:r>
      <w:r w:rsidR="00D4694C" w:rsidRPr="001B21F0">
        <w:rPr>
          <w:rFonts w:ascii="Book Antiqua" w:hAnsi="Book Antiqua" w:cs="Times New Roman"/>
          <w:lang w:val="en-US"/>
        </w:rPr>
        <w:t xml:space="preserve">that victims do disclose </w:t>
      </w:r>
      <w:r w:rsidR="00762136" w:rsidRPr="001B21F0">
        <w:rPr>
          <w:rFonts w:ascii="Book Antiqua" w:hAnsi="Book Antiqua" w:cs="Times New Roman"/>
          <w:lang w:val="en-US"/>
        </w:rPr>
        <w:t>but</w:t>
      </w:r>
      <w:r w:rsidR="005576CE" w:rsidRPr="001B21F0">
        <w:rPr>
          <w:rFonts w:ascii="Book Antiqua" w:hAnsi="Book Antiqua" w:cs="Times New Roman"/>
          <w:lang w:val="en-US"/>
        </w:rPr>
        <w:t>,</w:t>
      </w:r>
      <w:r w:rsidR="00762136" w:rsidRPr="001B21F0">
        <w:rPr>
          <w:rFonts w:ascii="Book Antiqua" w:hAnsi="Book Antiqua" w:cs="Times New Roman"/>
          <w:lang w:val="en-US"/>
        </w:rPr>
        <w:t xml:space="preserve"> </w:t>
      </w:r>
      <w:r w:rsidR="00D4694C" w:rsidRPr="001B21F0">
        <w:rPr>
          <w:rFonts w:ascii="Book Antiqua" w:hAnsi="Book Antiqua" w:cs="Times New Roman"/>
          <w:lang w:val="en-US"/>
        </w:rPr>
        <w:t xml:space="preserve">due to negative social reactions by confidants, they either do not re-disclose or </w:t>
      </w:r>
      <w:r w:rsidR="005576CE" w:rsidRPr="001B21F0">
        <w:rPr>
          <w:rFonts w:ascii="Book Antiqua" w:hAnsi="Book Antiqua" w:cs="Times New Roman"/>
          <w:lang w:val="en-US"/>
        </w:rPr>
        <w:t xml:space="preserve">they </w:t>
      </w:r>
      <w:r w:rsidR="00D4694C" w:rsidRPr="001B21F0">
        <w:rPr>
          <w:rFonts w:ascii="Book Antiqua" w:hAnsi="Book Antiqua" w:cs="Times New Roman"/>
          <w:lang w:val="en-US"/>
        </w:rPr>
        <w:t>totally recant the initial disclosure. Either way, the importance of the need to understand how the dynamics of sexual abuse disclosure functions is adequately supported. As with false denial,</w:t>
      </w:r>
      <w:r w:rsidRPr="001B21F0">
        <w:rPr>
          <w:rFonts w:ascii="Book Antiqua" w:hAnsi="Book Antiqua" w:cs="Times New Roman"/>
          <w:lang w:val="en-US"/>
        </w:rPr>
        <w:t xml:space="preserve"> victims of</w:t>
      </w:r>
      <w:r w:rsidR="00D4694C" w:rsidRPr="001B21F0">
        <w:rPr>
          <w:rFonts w:ascii="Book Antiqua" w:hAnsi="Book Antiqua" w:cs="Times New Roman"/>
          <w:lang w:val="en-US"/>
        </w:rPr>
        <w:t xml:space="preserve"> CSA</w:t>
      </w:r>
      <w:r w:rsidRPr="001B21F0">
        <w:rPr>
          <w:rFonts w:ascii="Book Antiqua" w:hAnsi="Book Antiqua" w:cs="Times New Roman"/>
          <w:lang w:val="en-US"/>
        </w:rPr>
        <w:t xml:space="preserve"> </w:t>
      </w:r>
      <w:r w:rsidR="00D4694C" w:rsidRPr="001B21F0">
        <w:rPr>
          <w:rFonts w:ascii="Book Antiqua" w:hAnsi="Book Antiqua" w:cs="Times New Roman"/>
          <w:lang w:val="en-US"/>
        </w:rPr>
        <w:t xml:space="preserve">may opt to use the non-disclosure approach to evasion based on </w:t>
      </w:r>
      <w:r w:rsidR="003A0A05" w:rsidRPr="001B21F0">
        <w:rPr>
          <w:rFonts w:ascii="Book Antiqua" w:hAnsi="Book Antiqua" w:cs="Times New Roman"/>
          <w:lang w:val="en-US"/>
        </w:rPr>
        <w:t xml:space="preserve">their </w:t>
      </w:r>
      <w:r w:rsidR="00D4694C" w:rsidRPr="001B21F0">
        <w:rPr>
          <w:rFonts w:ascii="Book Antiqua" w:hAnsi="Book Antiqua" w:cs="Times New Roman"/>
          <w:lang w:val="en-US"/>
        </w:rPr>
        <w:t>personal perception (e.g., shame, fear of negative consequences) or external influences (e.g., grooming by sexual perpetrators)</w:t>
      </w:r>
      <w:r w:rsidR="00D4694C" w:rsidRPr="001B21F0">
        <w:rPr>
          <w:rFonts w:ascii="Book Antiqua" w:hAnsi="Book Antiqua" w:cs="Times New Roman"/>
          <w:lang w:val="en-US"/>
        </w:rPr>
        <w:fldChar w:fldCharType="begin" w:fldLock="1"/>
      </w:r>
      <w:r w:rsidR="00D4694C" w:rsidRPr="001B21F0">
        <w:rPr>
          <w:rFonts w:ascii="Book Antiqua" w:hAnsi="Book Antiqua" w:cs="Times New Roman"/>
          <w:lang w:val="en-US"/>
        </w:rPr>
        <w:instrText>ADDIN CSL_CITATION { "citationItems" : [ { "id" : "ITEM-1", "itemData" : { "DOI" : "10.1016/S0145-2134(03)00037-1", "ISSN" : "01452134", "abstract" : "Objective: The present study investigated variables associated with delay of disclosure of child sexual abuse and tested a model of time to disclosure. Method: Data were obtained for 218 alleged child sexual abuse victims whose cases had been referred to District Attorneys\u2019 Offices. Five variables were posited to influence the delay between an abusive event and children\u2019s disclosure of that event to a reporting adult: child\u2019s age, gender, type of abuse experienced (intrafamilial or extrafamilial), perceived responsibility for the abuse, and fear of negative consequences of disclosure. These variables were used to create a model of factors influencing children\u2019s disclosure of sexual abuse. Results: Results indicated that age, type of abuse, fear of negative consequences, and perceived responsibility all contributed to predicting time to disclosure. There was significant support for the model, suggesting that children who were older, came from incestuous families, felt greater responsibility for the abuse, and feared negative consequences of disclosure took longer to disclose. Conclusions: Children\u2019s cognitive appraisal of others\u2019 tolerance of disclosure of child sexual abuse, and their own perceptions of responsibility for the abuse, are crucial to the decision to disclose. When evaluating children for possible sexual abuse, developmental, cognitive, and socio-emotional factors need to be taken into consideration.", "author" : [ { "dropping-particle" : "", "family" : "Goodman-Brown", "given" : "Tina B", "non-dropping-particle" : "", "parse-names" : false, "suffix" : "" }, { "dropping-particle" : "", "family" : "Edelstein", "given" : "Robin S", "non-dropping-particle" : "", "parse-names" : false, "suffix" : "" }, { "dropping-particle" : "", "family" : "Goodman", "given" : "Gail S", "non-dropping-particle" : "", "parse-names" : false, "suffix" : "" }, { "dropping-particle" : "", "family" : "Jones", "given" : "David P.H", "non-dropping-particle" : "", "parse-names" : false, "suffix" : "" }, { "dropping-particle" : "", "family" : "Gordon", "given" : "David S", "non-dropping-particle" : "", "parse-names" : false, "suffix" : "" } ], "container-title" : "Child Abuse &amp; Neglect", "id" : "ITEM-1", "issue" : "5", "issued" : { "date-parts" : [ [ "2003", "5" ] ] }, "page" : "525-540", "title" : "Why children tell: a model of children\u2019s disclosure of sexual abuse", "type" : "article-journal", "volume" : "27" }, "uris" : [ "http://www.mendeley.com/documents/?uuid=b08af947-0756-4e67-a9fe-7b2cc8d774ca" ] } ], "mendeley" : { "formattedCitation" : "(Goodman-Brown et al., 2003)", "manualFormatting" : " (Goodman-Brown et al., 2003", "plainTextFormattedCitation" : "(Goodman-Brown et al., 2003)", "previouslyFormattedCitation" : "(Goodman-Brown et al., 2003)" }, "properties" : { "noteIndex" : 0 }, "schema" : "https://github.com/citation-style-language/schema/raw/master/csl-citation.json" }</w:instrText>
      </w:r>
      <w:r w:rsidR="00D4694C" w:rsidRPr="001B21F0">
        <w:rPr>
          <w:rFonts w:ascii="Book Antiqua" w:hAnsi="Book Antiqua" w:cs="Times New Roman"/>
          <w:lang w:val="en-US"/>
        </w:rPr>
        <w:fldChar w:fldCharType="separate"/>
      </w:r>
      <w:r w:rsidR="00D4694C" w:rsidRPr="001B21F0">
        <w:rPr>
          <w:rFonts w:ascii="Book Antiqua" w:hAnsi="Book Antiqua" w:cs="Times New Roman"/>
          <w:noProof/>
          <w:lang w:val="en-US"/>
        </w:rPr>
        <w:t xml:space="preserve"> (</w:t>
      </w:r>
      <w:r w:rsidR="00AC3AF6" w:rsidRPr="001B21F0">
        <w:rPr>
          <w:rFonts w:ascii="Book Antiqua" w:hAnsi="Book Antiqua" w:cs="Times New Roman"/>
          <w:noProof/>
          <w:lang w:val="en-US"/>
        </w:rPr>
        <w:t xml:space="preserve">Elliott et al., 1995; </w:t>
      </w:r>
      <w:r w:rsidR="00D4694C" w:rsidRPr="001B21F0">
        <w:rPr>
          <w:rFonts w:ascii="Book Antiqua" w:hAnsi="Book Antiqua" w:cs="Times New Roman"/>
          <w:noProof/>
          <w:lang w:val="en-US"/>
        </w:rPr>
        <w:t>Goodman-Brown et al., 2003</w:t>
      </w:r>
      <w:r w:rsidR="00D4694C" w:rsidRPr="001B21F0">
        <w:rPr>
          <w:rFonts w:ascii="Book Antiqua" w:hAnsi="Book Antiqua" w:cs="Times New Roman"/>
          <w:lang w:val="en-US"/>
        </w:rPr>
        <w:fldChar w:fldCharType="end"/>
      </w:r>
      <w:r w:rsidR="00AC3AF6" w:rsidRPr="001B21F0">
        <w:rPr>
          <w:rFonts w:ascii="Book Antiqua" w:hAnsi="Book Antiqua" w:cs="Times New Roman"/>
          <w:lang w:val="en-US"/>
        </w:rPr>
        <w:t>)</w:t>
      </w:r>
      <w:r w:rsidR="00D4694C" w:rsidRPr="001B21F0">
        <w:rPr>
          <w:rFonts w:ascii="Book Antiqua" w:hAnsi="Book Antiqua" w:cs="Times New Roman"/>
          <w:lang w:val="en-US"/>
        </w:rPr>
        <w:t xml:space="preserve">. In the instances where </w:t>
      </w:r>
      <w:r w:rsidRPr="001B21F0">
        <w:rPr>
          <w:rFonts w:ascii="Book Antiqua" w:hAnsi="Book Antiqua" w:cs="Times New Roman"/>
          <w:lang w:val="en-US"/>
        </w:rPr>
        <w:t xml:space="preserve">victims of </w:t>
      </w:r>
      <w:r w:rsidR="00D4694C" w:rsidRPr="001B21F0">
        <w:rPr>
          <w:rFonts w:ascii="Book Antiqua" w:hAnsi="Book Antiqua" w:cs="Times New Roman"/>
          <w:lang w:val="en-US"/>
        </w:rPr>
        <w:t>CSA</w:t>
      </w:r>
      <w:r w:rsidRPr="001B21F0">
        <w:rPr>
          <w:rFonts w:ascii="Book Antiqua" w:hAnsi="Book Antiqua" w:cs="Times New Roman"/>
          <w:lang w:val="en-US"/>
        </w:rPr>
        <w:t xml:space="preserve"> </w:t>
      </w:r>
      <w:r w:rsidR="00D4694C" w:rsidRPr="001B21F0">
        <w:rPr>
          <w:rFonts w:ascii="Book Antiqua" w:hAnsi="Book Antiqua" w:cs="Times New Roman"/>
          <w:lang w:val="en-US"/>
        </w:rPr>
        <w:t>disclose their abuse</w:t>
      </w:r>
      <w:r w:rsidR="005576CE" w:rsidRPr="001B21F0">
        <w:rPr>
          <w:rFonts w:ascii="Book Antiqua" w:hAnsi="Book Antiqua" w:cs="Times New Roman"/>
          <w:lang w:val="en-US"/>
        </w:rPr>
        <w:t>,</w:t>
      </w:r>
      <w:r w:rsidR="00D4694C" w:rsidRPr="001B21F0">
        <w:rPr>
          <w:rFonts w:ascii="Book Antiqua" w:hAnsi="Book Antiqua" w:cs="Times New Roman"/>
          <w:lang w:val="en-US"/>
        </w:rPr>
        <w:t xml:space="preserve"> the possibility still exists that they can recant the claim. Feelings of guilt for </w:t>
      </w:r>
      <w:r w:rsidR="00C06771" w:rsidRPr="001B21F0">
        <w:rPr>
          <w:rFonts w:ascii="Book Antiqua" w:hAnsi="Book Antiqua" w:cs="Times New Roman"/>
          <w:lang w:val="en-US"/>
        </w:rPr>
        <w:t xml:space="preserve">“causing” </w:t>
      </w:r>
      <w:r w:rsidR="00D4694C" w:rsidRPr="001B21F0">
        <w:rPr>
          <w:rFonts w:ascii="Book Antiqua" w:hAnsi="Book Antiqua" w:cs="Times New Roman"/>
          <w:lang w:val="en-US"/>
        </w:rPr>
        <w:t>upheaval in the family unit and external pressure (whether from the perpetrator themselves or a non-offending other</w:t>
      </w:r>
      <w:r w:rsidR="00B36135" w:rsidRPr="001B21F0">
        <w:rPr>
          <w:rFonts w:ascii="Book Antiqua" w:hAnsi="Book Antiqua" w:cs="Times New Roman"/>
          <w:lang w:val="en-US"/>
        </w:rPr>
        <w:t>,</w:t>
      </w:r>
      <w:r w:rsidR="00D4694C" w:rsidRPr="001B21F0">
        <w:rPr>
          <w:rFonts w:ascii="Book Antiqua" w:hAnsi="Book Antiqua" w:cs="Times New Roman"/>
          <w:lang w:val="en-US"/>
        </w:rPr>
        <w:t xml:space="preserve"> such as a mother) are just some examples of causes of recantation (</w:t>
      </w:r>
      <w:proofErr w:type="spellStart"/>
      <w:r w:rsidR="00902F27" w:rsidRPr="001B21F0">
        <w:rPr>
          <w:rFonts w:ascii="Book Antiqua" w:hAnsi="Book Antiqua" w:cs="Times New Roman"/>
          <w:lang w:val="en-US"/>
        </w:rPr>
        <w:t>Mollon</w:t>
      </w:r>
      <w:proofErr w:type="spellEnd"/>
      <w:r w:rsidR="00902F27" w:rsidRPr="001B21F0">
        <w:rPr>
          <w:rFonts w:ascii="Book Antiqua" w:hAnsi="Book Antiqua" w:cs="Times New Roman"/>
          <w:lang w:val="en-US"/>
        </w:rPr>
        <w:t xml:space="preserve">, 2009; </w:t>
      </w:r>
      <w:r w:rsidR="00D4694C" w:rsidRPr="001B21F0">
        <w:rPr>
          <w:rFonts w:ascii="Book Antiqua" w:hAnsi="Book Antiqua" w:cs="Times New Roman"/>
          <w:lang w:val="en-US"/>
        </w:rPr>
        <w:t xml:space="preserve">Tully, 2002). The unfortunate reality is that in a bid to alleviate the intrapersonal stress of cognitive dissonance or to protect interpersonal relations, </w:t>
      </w:r>
      <w:r w:rsidRPr="001B21F0">
        <w:rPr>
          <w:rFonts w:ascii="Book Antiqua" w:hAnsi="Book Antiqua" w:cs="Times New Roman"/>
          <w:lang w:val="en-US"/>
        </w:rPr>
        <w:t xml:space="preserve">victims of </w:t>
      </w:r>
      <w:r w:rsidR="00D4694C" w:rsidRPr="001B21F0">
        <w:rPr>
          <w:rFonts w:ascii="Book Antiqua" w:hAnsi="Book Antiqua" w:cs="Times New Roman"/>
          <w:lang w:val="en-US"/>
        </w:rPr>
        <w:t>CSA</w:t>
      </w:r>
      <w:r w:rsidRPr="001B21F0">
        <w:rPr>
          <w:rFonts w:ascii="Book Antiqua" w:hAnsi="Book Antiqua" w:cs="Times New Roman"/>
          <w:lang w:val="en-US"/>
        </w:rPr>
        <w:t xml:space="preserve"> </w:t>
      </w:r>
      <w:r w:rsidR="00D4694C" w:rsidRPr="001B21F0">
        <w:rPr>
          <w:rFonts w:ascii="Book Antiqua" w:hAnsi="Book Antiqua" w:cs="Times New Roman"/>
          <w:lang w:val="en-US"/>
        </w:rPr>
        <w:t xml:space="preserve">may withdraw their own disclosures to their personal detriment. If the recantation of an authentic report of CSA is accepted without dispute, </w:t>
      </w:r>
      <w:r w:rsidR="007C2BBF" w:rsidRPr="001B21F0">
        <w:rPr>
          <w:rFonts w:ascii="Book Antiqua" w:hAnsi="Book Antiqua" w:cs="Times New Roman"/>
          <w:lang w:val="en-US"/>
        </w:rPr>
        <w:t xml:space="preserve">then </w:t>
      </w:r>
      <w:r w:rsidR="00D4694C" w:rsidRPr="001B21F0">
        <w:rPr>
          <w:rFonts w:ascii="Book Antiqua" w:hAnsi="Book Antiqua" w:cs="Times New Roman"/>
          <w:lang w:val="en-US"/>
        </w:rPr>
        <w:t>not only will the victim remain at risk for continued victimization</w:t>
      </w:r>
      <w:r w:rsidR="007C2BBF" w:rsidRPr="001B21F0">
        <w:rPr>
          <w:rFonts w:ascii="Book Antiqua" w:hAnsi="Book Antiqua" w:cs="Times New Roman"/>
          <w:lang w:val="en-US"/>
        </w:rPr>
        <w:t>,</w:t>
      </w:r>
      <w:r w:rsidR="00D4694C" w:rsidRPr="001B21F0">
        <w:rPr>
          <w:rFonts w:ascii="Book Antiqua" w:hAnsi="Book Antiqua" w:cs="Times New Roman"/>
          <w:lang w:val="en-US"/>
        </w:rPr>
        <w:t xml:space="preserve"> but other children can be endangered. </w:t>
      </w:r>
      <w:r w:rsidR="00996312" w:rsidRPr="001B21F0">
        <w:rPr>
          <w:rFonts w:ascii="Book Antiqua" w:hAnsi="Book Antiqua" w:cs="Times New Roman"/>
          <w:lang w:val="en-US"/>
        </w:rPr>
        <w:t>Another issue is that l</w:t>
      </w:r>
      <w:r w:rsidR="00A53960" w:rsidRPr="001B21F0">
        <w:rPr>
          <w:rFonts w:ascii="Book Antiqua" w:hAnsi="Book Antiqua" w:cs="Times New Roman"/>
          <w:lang w:val="en-US"/>
        </w:rPr>
        <w:t>egal professionals</w:t>
      </w:r>
      <w:r w:rsidR="007C2BBF" w:rsidRPr="001B21F0">
        <w:rPr>
          <w:rFonts w:ascii="Book Antiqua" w:hAnsi="Book Antiqua" w:cs="Times New Roman"/>
          <w:lang w:val="en-US"/>
        </w:rPr>
        <w:t>,</w:t>
      </w:r>
      <w:r w:rsidR="00A53960" w:rsidRPr="001B21F0">
        <w:rPr>
          <w:rFonts w:ascii="Book Antiqua" w:hAnsi="Book Antiqua" w:cs="Times New Roman"/>
          <w:lang w:val="en-US"/>
        </w:rPr>
        <w:t xml:space="preserve"> </w:t>
      </w:r>
      <w:r w:rsidR="00996312" w:rsidRPr="001B21F0">
        <w:rPr>
          <w:rFonts w:ascii="Book Antiqua" w:hAnsi="Book Antiqua" w:cs="Times New Roman"/>
          <w:lang w:val="en-US"/>
        </w:rPr>
        <w:t xml:space="preserve">who </w:t>
      </w:r>
      <w:r w:rsidR="00A53960" w:rsidRPr="001B21F0">
        <w:rPr>
          <w:rFonts w:ascii="Book Antiqua" w:hAnsi="Book Antiqua" w:cs="Times New Roman"/>
          <w:lang w:val="en-US"/>
        </w:rPr>
        <w:t>themselves may not</w:t>
      </w:r>
      <w:r w:rsidR="00996312" w:rsidRPr="001B21F0">
        <w:rPr>
          <w:rFonts w:ascii="Book Antiqua" w:hAnsi="Book Antiqua" w:cs="Times New Roman"/>
          <w:lang w:val="en-US"/>
        </w:rPr>
        <w:t xml:space="preserve"> understand the psychological processes </w:t>
      </w:r>
      <w:r w:rsidRPr="001B21F0">
        <w:rPr>
          <w:rFonts w:ascii="Book Antiqua" w:hAnsi="Book Antiqua" w:cs="Times New Roman"/>
          <w:lang w:val="en-US"/>
        </w:rPr>
        <w:t xml:space="preserve">that undermine </w:t>
      </w:r>
      <w:r w:rsidR="00996312" w:rsidRPr="001B21F0">
        <w:rPr>
          <w:rFonts w:ascii="Book Antiqua" w:hAnsi="Book Antiqua" w:cs="Times New Roman"/>
          <w:lang w:val="en-US"/>
        </w:rPr>
        <w:t xml:space="preserve">recantations, may have the task of clarifying the behavior to a jury (Parga, 2008). </w:t>
      </w:r>
      <w:r w:rsidR="00D4694C" w:rsidRPr="001B21F0">
        <w:rPr>
          <w:rFonts w:ascii="Book Antiqua" w:hAnsi="Book Antiqua" w:cs="Times New Roman"/>
          <w:lang w:val="en-US"/>
        </w:rPr>
        <w:t xml:space="preserve">While a fair amount of literature is available about the recantation of false allegations of sexual abuse (e.g., Ost, 2016) the same cannot be </w:t>
      </w:r>
      <w:r w:rsidR="00D4694C" w:rsidRPr="001B21F0">
        <w:rPr>
          <w:rFonts w:ascii="Book Antiqua" w:hAnsi="Book Antiqua" w:cs="Times New Roman"/>
          <w:lang w:val="en-US"/>
        </w:rPr>
        <w:t xml:space="preserve">said for research on the recantation of truthful reports of CSA or furthermore how this may affect memory. </w:t>
      </w:r>
      <w:r w:rsidR="007C2BBF" w:rsidRPr="001B21F0">
        <w:rPr>
          <w:rFonts w:ascii="Book Antiqua" w:hAnsi="Book Antiqua" w:cs="Times New Roman"/>
          <w:lang w:val="en-US"/>
        </w:rPr>
        <w:t>Given that</w:t>
      </w:r>
      <w:r w:rsidR="00D4694C" w:rsidRPr="001B21F0">
        <w:rPr>
          <w:rFonts w:ascii="Book Antiqua" w:hAnsi="Book Antiqua" w:cs="Times New Roman"/>
          <w:lang w:val="en-US"/>
        </w:rPr>
        <w:t xml:space="preserve"> strong support </w:t>
      </w:r>
      <w:r w:rsidR="003A0A05" w:rsidRPr="001B21F0">
        <w:rPr>
          <w:rFonts w:ascii="Book Antiqua" w:hAnsi="Book Antiqua" w:cs="Times New Roman"/>
          <w:lang w:val="en-US"/>
        </w:rPr>
        <w:t xml:space="preserve">for the </w:t>
      </w:r>
      <w:r w:rsidR="000E2DF3" w:rsidRPr="001B21F0">
        <w:rPr>
          <w:rFonts w:ascii="Book Antiqua" w:hAnsi="Book Antiqua" w:cs="Times New Roman"/>
          <w:lang w:val="en-US"/>
        </w:rPr>
        <w:t xml:space="preserve">adverse </w:t>
      </w:r>
      <w:r w:rsidR="00D4694C" w:rsidRPr="001B21F0">
        <w:rPr>
          <w:rFonts w:ascii="Book Antiqua" w:hAnsi="Book Antiqua" w:cs="Times New Roman"/>
          <w:lang w:val="en-US"/>
        </w:rPr>
        <w:t xml:space="preserve">effects of false denial on memory has already been </w:t>
      </w:r>
      <w:r w:rsidR="000E2DF3" w:rsidRPr="001B21F0">
        <w:rPr>
          <w:rFonts w:ascii="Book Antiqua" w:hAnsi="Book Antiqua" w:cs="Times New Roman"/>
          <w:lang w:val="en-US"/>
        </w:rPr>
        <w:t>described</w:t>
      </w:r>
      <w:r w:rsidR="007C2BBF" w:rsidRPr="001B21F0">
        <w:rPr>
          <w:rFonts w:ascii="Book Antiqua" w:hAnsi="Book Antiqua" w:cs="Times New Roman"/>
          <w:lang w:val="en-US"/>
        </w:rPr>
        <w:t>,</w:t>
      </w:r>
      <w:r w:rsidR="000E2DF3" w:rsidRPr="001B21F0">
        <w:rPr>
          <w:rFonts w:ascii="Book Antiqua" w:hAnsi="Book Antiqua" w:cs="Times New Roman"/>
          <w:lang w:val="en-US"/>
        </w:rPr>
        <w:t xml:space="preserve"> </w:t>
      </w:r>
      <w:r w:rsidR="00D4694C" w:rsidRPr="001B21F0">
        <w:rPr>
          <w:rFonts w:ascii="Book Antiqua" w:hAnsi="Book Antiqua" w:cs="Times New Roman"/>
          <w:lang w:val="en-US"/>
        </w:rPr>
        <w:t xml:space="preserve">it would not be a far stretch to hypothesize that memory can also be distorted as a result of the employment of other cognitive strategies such as recantation. </w:t>
      </w:r>
    </w:p>
    <w:p w14:paraId="79C9B47C" w14:textId="1BB28D80" w:rsidR="00D4694C" w:rsidRPr="001B21F0" w:rsidRDefault="007C2BBF" w:rsidP="00C41F6B">
      <w:pPr>
        <w:spacing w:after="0" w:line="240" w:lineRule="auto"/>
        <w:ind w:firstLine="284"/>
        <w:jc w:val="both"/>
        <w:rPr>
          <w:rFonts w:ascii="Book Antiqua" w:hAnsi="Book Antiqua" w:cs="Times New Roman"/>
          <w:lang w:val="en-US"/>
        </w:rPr>
      </w:pPr>
      <w:r w:rsidRPr="001B21F0">
        <w:rPr>
          <w:rFonts w:ascii="Book Antiqua" w:hAnsi="Book Antiqua" w:cs="Times New Roman"/>
          <w:lang w:val="en-US"/>
        </w:rPr>
        <w:t xml:space="preserve">Although </w:t>
      </w:r>
      <w:r w:rsidR="00D4694C" w:rsidRPr="001B21F0">
        <w:rPr>
          <w:rFonts w:ascii="Book Antiqua" w:hAnsi="Book Antiqua" w:cs="Times New Roman"/>
          <w:lang w:val="en-US"/>
        </w:rPr>
        <w:t>supportive information such as medical evidence or witness accounts</w:t>
      </w:r>
      <w:r w:rsidRPr="001B21F0">
        <w:rPr>
          <w:rFonts w:ascii="Book Antiqua" w:hAnsi="Book Antiqua" w:cs="Times New Roman"/>
          <w:lang w:val="en-US"/>
        </w:rPr>
        <w:t xml:space="preserve"> </w:t>
      </w:r>
      <w:r w:rsidR="00B4098B" w:rsidRPr="001B21F0">
        <w:rPr>
          <w:rFonts w:ascii="Book Antiqua" w:hAnsi="Book Antiqua" w:cs="Times New Roman"/>
          <w:lang w:val="en-US"/>
        </w:rPr>
        <w:t>can be used</w:t>
      </w:r>
      <w:r w:rsidR="00D4694C" w:rsidRPr="001B21F0">
        <w:rPr>
          <w:rFonts w:ascii="Book Antiqua" w:hAnsi="Book Antiqua" w:cs="Times New Roman"/>
          <w:lang w:val="en-US"/>
        </w:rPr>
        <w:t xml:space="preserve">, the most insightful and powerful type of evidence is that which is garnered from the </w:t>
      </w:r>
      <w:r w:rsidR="00B4098B" w:rsidRPr="001B21F0">
        <w:rPr>
          <w:rFonts w:ascii="Book Antiqua" w:hAnsi="Book Antiqua" w:cs="Times New Roman"/>
          <w:lang w:val="en-US"/>
        </w:rPr>
        <w:t xml:space="preserve">victims of </w:t>
      </w:r>
      <w:r w:rsidR="00D4694C" w:rsidRPr="001B21F0">
        <w:rPr>
          <w:rFonts w:ascii="Book Antiqua" w:hAnsi="Book Antiqua" w:cs="Times New Roman"/>
          <w:lang w:val="en-US"/>
        </w:rPr>
        <w:t>CSA</w:t>
      </w:r>
      <w:r w:rsidR="00B4098B" w:rsidRPr="001B21F0">
        <w:rPr>
          <w:rFonts w:ascii="Book Antiqua" w:hAnsi="Book Antiqua" w:cs="Times New Roman"/>
          <w:lang w:val="en-US"/>
        </w:rPr>
        <w:t xml:space="preserve"> </w:t>
      </w:r>
      <w:r w:rsidR="00D4694C" w:rsidRPr="001B21F0">
        <w:rPr>
          <w:rFonts w:ascii="Book Antiqua" w:hAnsi="Book Antiqua" w:cs="Times New Roman"/>
          <w:lang w:val="en-US"/>
        </w:rPr>
        <w:t xml:space="preserve">themselves. As the </w:t>
      </w:r>
      <w:r w:rsidR="003A0A05" w:rsidRPr="001B21F0">
        <w:rPr>
          <w:rFonts w:ascii="Book Antiqua" w:hAnsi="Book Antiqua" w:cs="Times New Roman"/>
          <w:lang w:val="en-US"/>
        </w:rPr>
        <w:t xml:space="preserve">primary </w:t>
      </w:r>
      <w:r w:rsidR="00D4694C" w:rsidRPr="001B21F0">
        <w:rPr>
          <w:rFonts w:ascii="Book Antiqua" w:hAnsi="Book Antiqua" w:cs="Times New Roman"/>
          <w:lang w:val="en-US"/>
        </w:rPr>
        <w:t>grounds upon which the prosecution of perp</w:t>
      </w:r>
      <w:r w:rsidR="00C310C4" w:rsidRPr="001B21F0">
        <w:rPr>
          <w:rFonts w:ascii="Book Antiqua" w:hAnsi="Book Antiqua" w:cs="Times New Roman"/>
          <w:lang w:val="en-US"/>
        </w:rPr>
        <w:t xml:space="preserve">etrators </w:t>
      </w:r>
      <w:r w:rsidR="003A0A05" w:rsidRPr="001B21F0">
        <w:rPr>
          <w:rFonts w:ascii="Book Antiqua" w:hAnsi="Book Antiqua" w:cs="Times New Roman"/>
          <w:lang w:val="en-US"/>
        </w:rPr>
        <w:t>stands</w:t>
      </w:r>
      <w:r w:rsidR="00C310C4" w:rsidRPr="001B21F0">
        <w:rPr>
          <w:rFonts w:ascii="Book Antiqua" w:hAnsi="Book Antiqua" w:cs="Times New Roman"/>
          <w:lang w:val="en-US"/>
        </w:rPr>
        <w:t xml:space="preserve">, any factor </w:t>
      </w:r>
      <w:r w:rsidR="00D4694C" w:rsidRPr="001B21F0">
        <w:rPr>
          <w:rFonts w:ascii="Book Antiqua" w:hAnsi="Book Antiqua" w:cs="Times New Roman"/>
          <w:lang w:val="en-US"/>
        </w:rPr>
        <w:t>that impede</w:t>
      </w:r>
      <w:r w:rsidR="00C310C4" w:rsidRPr="001B21F0">
        <w:rPr>
          <w:rFonts w:ascii="Book Antiqua" w:hAnsi="Book Antiqua" w:cs="Times New Roman"/>
          <w:lang w:val="en-US"/>
        </w:rPr>
        <w:t>s</w:t>
      </w:r>
      <w:r w:rsidR="00D4694C" w:rsidRPr="001B21F0">
        <w:rPr>
          <w:rFonts w:ascii="Book Antiqua" w:hAnsi="Book Antiqua" w:cs="Times New Roman"/>
          <w:lang w:val="en-US"/>
        </w:rPr>
        <w:t xml:space="preserve"> victims’ </w:t>
      </w:r>
      <w:r w:rsidR="00C310C4" w:rsidRPr="001B21F0">
        <w:rPr>
          <w:rFonts w:ascii="Book Antiqua" w:hAnsi="Book Antiqua" w:cs="Times New Roman"/>
          <w:lang w:val="en-US"/>
        </w:rPr>
        <w:t>memory processes should be</w:t>
      </w:r>
      <w:r w:rsidR="00D4694C" w:rsidRPr="001B21F0">
        <w:rPr>
          <w:rFonts w:ascii="Book Antiqua" w:hAnsi="Book Antiqua" w:cs="Times New Roman"/>
          <w:lang w:val="en-US"/>
        </w:rPr>
        <w:t xml:space="preserve"> understood</w:t>
      </w:r>
      <w:r w:rsidR="00C310C4" w:rsidRPr="001B21F0">
        <w:rPr>
          <w:rFonts w:ascii="Book Antiqua" w:hAnsi="Book Antiqua" w:cs="Times New Roman"/>
          <w:lang w:val="en-US"/>
        </w:rPr>
        <w:t xml:space="preserve"> in depth</w:t>
      </w:r>
      <w:r w:rsidR="00D4694C" w:rsidRPr="001B21F0">
        <w:rPr>
          <w:rFonts w:ascii="Book Antiqua" w:hAnsi="Book Antiqua" w:cs="Times New Roman"/>
          <w:lang w:val="en-US"/>
        </w:rPr>
        <w:t>. Here, we chose to highlight some factors that function through victims’</w:t>
      </w:r>
      <w:r w:rsidR="0053355E" w:rsidRPr="001B21F0">
        <w:rPr>
          <w:rFonts w:ascii="Book Antiqua" w:hAnsi="Book Antiqua" w:cs="Times New Roman"/>
          <w:lang w:val="en-US"/>
        </w:rPr>
        <w:t xml:space="preserve"> </w:t>
      </w:r>
      <w:r w:rsidR="00D4694C" w:rsidRPr="001B21F0">
        <w:rPr>
          <w:rFonts w:ascii="Book Antiqua" w:hAnsi="Book Antiqua" w:cs="Times New Roman"/>
          <w:lang w:val="en-US"/>
        </w:rPr>
        <w:t xml:space="preserve">cognitions. </w:t>
      </w:r>
      <w:r w:rsidRPr="001B21F0">
        <w:rPr>
          <w:rFonts w:ascii="Book Antiqua" w:hAnsi="Book Antiqua" w:cs="Times New Roman"/>
          <w:lang w:val="en-US"/>
        </w:rPr>
        <w:t xml:space="preserve">Although </w:t>
      </w:r>
      <w:r w:rsidR="00D4694C" w:rsidRPr="001B21F0">
        <w:rPr>
          <w:rFonts w:ascii="Book Antiqua" w:hAnsi="Book Antiqua" w:cs="Times New Roman"/>
          <w:lang w:val="en-US"/>
        </w:rPr>
        <w:t xml:space="preserve">these coping strategies are adequately defined and well expounded upon in terms of the motivations underpinning their use, the concluding determination of this review is that defining them contextually memory-wise requires much more attention. </w:t>
      </w:r>
    </w:p>
    <w:p w14:paraId="0D42ACBB" w14:textId="77777777" w:rsidR="00594886" w:rsidRPr="001B21F0" w:rsidRDefault="00594886" w:rsidP="00F70AFB">
      <w:pPr>
        <w:spacing w:after="0" w:line="240" w:lineRule="auto"/>
        <w:jc w:val="both"/>
        <w:rPr>
          <w:rFonts w:ascii="Book Antiqua" w:hAnsi="Book Antiqua" w:cs="Times New Roman"/>
          <w:lang w:val="en-US"/>
        </w:rPr>
      </w:pPr>
    </w:p>
    <w:p w14:paraId="1CFC8050" w14:textId="02A4F474" w:rsidR="00F70AFB" w:rsidRPr="001B21F0" w:rsidRDefault="00F70AFB" w:rsidP="00F70AFB">
      <w:pPr>
        <w:spacing w:after="0" w:line="240" w:lineRule="auto"/>
        <w:jc w:val="both"/>
        <w:rPr>
          <w:rFonts w:ascii="Book Antiqua" w:eastAsia="Times New Roman" w:hAnsi="Book Antiqua" w:cs="Times New Roman"/>
          <w:color w:val="000000"/>
          <w:lang w:val="en-US"/>
        </w:rPr>
      </w:pPr>
      <w:r w:rsidRPr="001B21F0">
        <w:rPr>
          <w:rFonts w:ascii="Book Antiqua" w:eastAsia="Times New Roman" w:hAnsi="Book Antiqua" w:cs="Times New Roman"/>
          <w:b/>
          <w:bCs/>
          <w:color w:val="000000"/>
          <w:lang w:val="en-US"/>
        </w:rPr>
        <w:t>Declaration of Conflicting Interests</w:t>
      </w:r>
    </w:p>
    <w:p w14:paraId="1DD34C6A" w14:textId="77777777" w:rsidR="00F70AFB" w:rsidRPr="001B21F0" w:rsidRDefault="00F70AFB" w:rsidP="00F70AFB">
      <w:pPr>
        <w:spacing w:after="0" w:line="240" w:lineRule="auto"/>
        <w:jc w:val="both"/>
        <w:rPr>
          <w:rFonts w:ascii="Book Antiqua" w:eastAsia="Times New Roman" w:hAnsi="Book Antiqua" w:cs="Times New Roman"/>
          <w:color w:val="000000"/>
          <w:lang w:val="en-US"/>
        </w:rPr>
      </w:pPr>
    </w:p>
    <w:p w14:paraId="4E273FB2" w14:textId="77777777" w:rsidR="00F70AFB" w:rsidRPr="001B21F0" w:rsidRDefault="00F70AFB" w:rsidP="00F70AFB">
      <w:pPr>
        <w:spacing w:after="0" w:line="240" w:lineRule="auto"/>
        <w:jc w:val="both"/>
        <w:rPr>
          <w:rFonts w:ascii="Book Antiqua" w:eastAsia="Times New Roman" w:hAnsi="Book Antiqua" w:cs="Times New Roman"/>
          <w:color w:val="000000"/>
          <w:lang w:val="en-US"/>
        </w:rPr>
      </w:pPr>
      <w:r w:rsidRPr="001B21F0">
        <w:rPr>
          <w:rFonts w:ascii="Book Antiqua" w:eastAsia="Times New Roman" w:hAnsi="Book Antiqua" w:cs="Times New Roman"/>
          <w:color w:val="000000"/>
          <w:lang w:val="en-US"/>
        </w:rPr>
        <w:t>The author(s) declared that there were no conflicts of interest with respect to the authorship or the publication of this article.</w:t>
      </w:r>
    </w:p>
    <w:p w14:paraId="406B2622" w14:textId="77777777" w:rsidR="00F70AFB" w:rsidRPr="001B21F0" w:rsidRDefault="00F70AFB" w:rsidP="00DB47B6">
      <w:pPr>
        <w:spacing w:after="0" w:line="240" w:lineRule="auto"/>
        <w:ind w:left="284" w:hanging="284"/>
        <w:rPr>
          <w:rFonts w:ascii="Book Antiqua" w:hAnsi="Book Antiqua" w:cs="Times New Roman"/>
          <w:b/>
          <w:lang w:val="en-US"/>
        </w:rPr>
      </w:pPr>
    </w:p>
    <w:p w14:paraId="78ED5511" w14:textId="387D77D6" w:rsidR="00D4694C" w:rsidRPr="001B21F0" w:rsidRDefault="00D4694C" w:rsidP="00DB47B6">
      <w:pPr>
        <w:spacing w:after="0" w:line="240" w:lineRule="auto"/>
        <w:ind w:left="284" w:hanging="284"/>
        <w:rPr>
          <w:rFonts w:ascii="Book Antiqua" w:hAnsi="Book Antiqua" w:cs="Times New Roman"/>
          <w:b/>
          <w:lang w:val="en-US"/>
        </w:rPr>
      </w:pPr>
      <w:bookmarkStart w:id="1" w:name="_Hlk511373134"/>
      <w:r w:rsidRPr="001B21F0">
        <w:rPr>
          <w:rFonts w:ascii="Book Antiqua" w:hAnsi="Book Antiqua" w:cs="Times New Roman"/>
          <w:b/>
          <w:lang w:val="en-US"/>
        </w:rPr>
        <w:t>References</w:t>
      </w:r>
    </w:p>
    <w:p w14:paraId="5427AEF8" w14:textId="77777777" w:rsidR="00DB47B6" w:rsidRPr="001B21F0" w:rsidRDefault="00DB47B6" w:rsidP="00C41F6B">
      <w:pPr>
        <w:widowControl w:val="0"/>
        <w:autoSpaceDE w:val="0"/>
        <w:autoSpaceDN w:val="0"/>
        <w:adjustRightInd w:val="0"/>
        <w:spacing w:after="0" w:line="240" w:lineRule="auto"/>
        <w:ind w:left="284" w:hanging="284"/>
        <w:rPr>
          <w:rFonts w:ascii="Book Antiqua" w:hAnsi="Book Antiqua" w:cs="Times New Roman"/>
          <w:noProof/>
          <w:lang w:val="en-US"/>
        </w:rPr>
      </w:pPr>
    </w:p>
    <w:p w14:paraId="512B929C" w14:textId="5155659A" w:rsidR="00160C6E" w:rsidRPr="001B21F0" w:rsidRDefault="00160C6E"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Alaggia, R., &amp; Kirshenbaum, S. (2005). Speaking the unspeakable: Exploring the impact of family dynamics on child sexual abuse disclosures. </w:t>
      </w:r>
      <w:r w:rsidRPr="001B21F0">
        <w:rPr>
          <w:rFonts w:ascii="Book Antiqua" w:hAnsi="Book Antiqua" w:cs="Times New Roman"/>
          <w:i/>
          <w:iCs/>
          <w:noProof/>
          <w:lang w:val="en-US"/>
        </w:rPr>
        <w:t>Families in Society</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86</w:t>
      </w:r>
      <w:r w:rsidRPr="001B21F0">
        <w:rPr>
          <w:rFonts w:ascii="Book Antiqua" w:hAnsi="Book Antiqua" w:cs="Times New Roman"/>
          <w:noProof/>
          <w:lang w:val="en-US"/>
        </w:rPr>
        <w:t>, 227–234.</w:t>
      </w:r>
    </w:p>
    <w:p w14:paraId="43E575B2" w14:textId="77777777" w:rsidR="00232C29"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lang w:val="en-US"/>
        </w:rPr>
        <w:fldChar w:fldCharType="begin" w:fldLock="1"/>
      </w:r>
      <w:r w:rsidRPr="001B21F0">
        <w:rPr>
          <w:rFonts w:ascii="Book Antiqua" w:hAnsi="Book Antiqua" w:cs="Times New Roman"/>
          <w:lang w:val="en-US"/>
        </w:rPr>
        <w:instrText xml:space="preserve">ADDIN Mendeley Bibliography CSL_BIBLIOGRAPHY </w:instrText>
      </w:r>
      <w:r w:rsidRPr="001B21F0">
        <w:rPr>
          <w:rFonts w:ascii="Book Antiqua" w:hAnsi="Book Antiqua" w:cs="Times New Roman"/>
          <w:lang w:val="en-US"/>
        </w:rPr>
        <w:fldChar w:fldCharType="separate"/>
      </w:r>
      <w:r w:rsidRPr="001B21F0">
        <w:rPr>
          <w:rFonts w:ascii="Book Antiqua" w:hAnsi="Book Antiqua" w:cs="Times New Roman"/>
          <w:noProof/>
          <w:lang w:val="en-US"/>
        </w:rPr>
        <w:t xml:space="preserve">Alaggia, R. (2010). An ecological analysis of child sexual abuse disclosure: </w:t>
      </w:r>
      <w:r w:rsidR="00D77E80" w:rsidRPr="001B21F0">
        <w:rPr>
          <w:rFonts w:ascii="Book Antiqua" w:hAnsi="Book Antiqua" w:cs="Times New Roman"/>
          <w:noProof/>
          <w:lang w:val="en-US"/>
        </w:rPr>
        <w:t>C</w:t>
      </w:r>
      <w:r w:rsidRPr="001B21F0">
        <w:rPr>
          <w:rFonts w:ascii="Book Antiqua" w:hAnsi="Book Antiqua" w:cs="Times New Roman"/>
          <w:noProof/>
          <w:lang w:val="en-US"/>
        </w:rPr>
        <w:t xml:space="preserve">onsiderations for child and adolescent mental health. </w:t>
      </w:r>
      <w:r w:rsidRPr="001B21F0">
        <w:rPr>
          <w:rFonts w:ascii="Book Antiqua" w:hAnsi="Book Antiqua" w:cs="Times New Roman"/>
          <w:i/>
          <w:iCs/>
          <w:noProof/>
          <w:lang w:val="en-US"/>
        </w:rPr>
        <w:t>Journal of the Canadian Academy of C</w:t>
      </w:r>
      <w:r w:rsidR="00232C29" w:rsidRPr="001B21F0">
        <w:rPr>
          <w:rFonts w:ascii="Book Antiqua" w:hAnsi="Book Antiqua" w:cs="Times New Roman"/>
          <w:i/>
          <w:iCs/>
          <w:noProof/>
          <w:lang w:val="en-US"/>
        </w:rPr>
        <w:t>hild and Adolescent Psychiatry/</w:t>
      </w:r>
      <w:r w:rsidRPr="001B21F0">
        <w:rPr>
          <w:rFonts w:ascii="Book Antiqua" w:hAnsi="Book Antiqua" w:cs="Times New Roman"/>
          <w:i/>
          <w:iCs/>
          <w:noProof/>
          <w:lang w:val="en-US"/>
        </w:rPr>
        <w:t xml:space="preserve"> Journal de l’Académie Canadienne de Psychiatrie de L’enfant et de L’adolescent</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19</w:t>
      </w:r>
      <w:r w:rsidRPr="001B21F0">
        <w:rPr>
          <w:rFonts w:ascii="Book Antiqua" w:hAnsi="Book Antiqua" w:cs="Times New Roman"/>
          <w:noProof/>
          <w:lang w:val="en-US"/>
        </w:rPr>
        <w:t xml:space="preserve">, 32–9. </w:t>
      </w:r>
    </w:p>
    <w:p w14:paraId="57A4B4A3" w14:textId="77777777" w:rsidR="0063664A" w:rsidRPr="001B21F0" w:rsidRDefault="0063664A"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shd w:val="clear" w:color="auto" w:fill="FFFFFF"/>
        </w:rPr>
        <w:t xml:space="preserve">Alexander, K., Quas, J., Goodman, G., Ghetti, S., Edelstein, R., Redlich, A., . . . </w:t>
      </w:r>
      <w:r w:rsidR="00B26509" w:rsidRPr="001B21F0">
        <w:rPr>
          <w:rFonts w:ascii="Book Antiqua" w:hAnsi="Book Antiqua" w:cs="Times New Roman"/>
          <w:noProof/>
          <w:shd w:val="clear" w:color="auto" w:fill="FFFFFF"/>
          <w:lang w:val="en-US"/>
        </w:rPr>
        <w:t>Jones, D. (2005). Traumatic i</w:t>
      </w:r>
      <w:r w:rsidRPr="001B21F0">
        <w:rPr>
          <w:rFonts w:ascii="Book Antiqua" w:hAnsi="Book Antiqua" w:cs="Times New Roman"/>
          <w:noProof/>
          <w:shd w:val="clear" w:color="auto" w:fill="FFFFFF"/>
          <w:lang w:val="en-US"/>
        </w:rPr>
        <w:t xml:space="preserve">mpact </w:t>
      </w:r>
      <w:r w:rsidR="00B26509" w:rsidRPr="001B21F0">
        <w:rPr>
          <w:rFonts w:ascii="Book Antiqua" w:hAnsi="Book Antiqua" w:cs="Times New Roman"/>
          <w:noProof/>
          <w:shd w:val="clear" w:color="auto" w:fill="FFFFFF"/>
          <w:lang w:val="en-US"/>
        </w:rPr>
        <w:t>predicts long-term memory for d</w:t>
      </w:r>
      <w:r w:rsidRPr="001B21F0">
        <w:rPr>
          <w:rFonts w:ascii="Book Antiqua" w:hAnsi="Book Antiqua" w:cs="Times New Roman"/>
          <w:noProof/>
          <w:shd w:val="clear" w:color="auto" w:fill="FFFFFF"/>
          <w:lang w:val="en-US"/>
        </w:rPr>
        <w:t>ocumente</w:t>
      </w:r>
      <w:r w:rsidR="00B26509" w:rsidRPr="001B21F0">
        <w:rPr>
          <w:rFonts w:ascii="Book Antiqua" w:hAnsi="Book Antiqua" w:cs="Times New Roman"/>
          <w:noProof/>
          <w:shd w:val="clear" w:color="auto" w:fill="FFFFFF"/>
          <w:lang w:val="en-US"/>
        </w:rPr>
        <w:t>d child sexual a</w:t>
      </w:r>
      <w:r w:rsidRPr="001B21F0">
        <w:rPr>
          <w:rFonts w:ascii="Book Antiqua" w:hAnsi="Book Antiqua" w:cs="Times New Roman"/>
          <w:noProof/>
          <w:shd w:val="clear" w:color="auto" w:fill="FFFFFF"/>
          <w:lang w:val="en-US"/>
        </w:rPr>
        <w:t>buse. </w:t>
      </w:r>
      <w:r w:rsidRPr="001B21F0">
        <w:rPr>
          <w:rFonts w:ascii="Book Antiqua" w:hAnsi="Book Antiqua" w:cs="Times New Roman"/>
          <w:i/>
          <w:iCs/>
          <w:noProof/>
          <w:shd w:val="clear" w:color="auto" w:fill="FFFFFF"/>
          <w:lang w:val="en-US"/>
        </w:rPr>
        <w:t>Psychological Science,</w:t>
      </w:r>
      <w:r w:rsidRPr="001B21F0">
        <w:rPr>
          <w:rFonts w:ascii="Book Antiqua" w:hAnsi="Book Antiqua" w:cs="Times New Roman"/>
          <w:noProof/>
          <w:shd w:val="clear" w:color="auto" w:fill="FFFFFF"/>
          <w:lang w:val="en-US"/>
        </w:rPr>
        <w:t> </w:t>
      </w:r>
      <w:r w:rsidRPr="001B21F0">
        <w:rPr>
          <w:rFonts w:ascii="Book Antiqua" w:hAnsi="Book Antiqua" w:cs="Times New Roman"/>
          <w:i/>
          <w:iCs/>
          <w:noProof/>
          <w:shd w:val="clear" w:color="auto" w:fill="FFFFFF"/>
          <w:lang w:val="en-US"/>
        </w:rPr>
        <w:t>16</w:t>
      </w:r>
      <w:r w:rsidRPr="001B21F0">
        <w:rPr>
          <w:rFonts w:ascii="Book Antiqua" w:hAnsi="Book Antiqua" w:cs="Times New Roman"/>
          <w:noProof/>
          <w:shd w:val="clear" w:color="auto" w:fill="FFFFFF"/>
          <w:lang w:val="en-US"/>
        </w:rPr>
        <w:t>, 33-40.</w:t>
      </w:r>
    </w:p>
    <w:p w14:paraId="64B2C0C8" w14:textId="77777777"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Block, S. D., Greenberg, S. N., &amp; Goodman, G. S. (2009). Remembrance of eyewitness testimony: Effects of emotional content, self-</w:t>
      </w:r>
      <w:r w:rsidRPr="001B21F0">
        <w:rPr>
          <w:rFonts w:ascii="Book Antiqua" w:hAnsi="Book Antiqua" w:cs="Times New Roman"/>
          <w:noProof/>
          <w:lang w:val="en-US"/>
        </w:rPr>
        <w:lastRenderedPageBreak/>
        <w:t xml:space="preserve">relevance, and emotional tone. </w:t>
      </w:r>
      <w:r w:rsidRPr="001B21F0">
        <w:rPr>
          <w:rFonts w:ascii="Book Antiqua" w:hAnsi="Book Antiqua" w:cs="Times New Roman"/>
          <w:i/>
          <w:iCs/>
          <w:noProof/>
          <w:lang w:val="en-US"/>
        </w:rPr>
        <w:t>Journal of Applied Social Psychology</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39</w:t>
      </w:r>
      <w:r w:rsidRPr="001B21F0">
        <w:rPr>
          <w:rFonts w:ascii="Book Antiqua" w:hAnsi="Book Antiqua" w:cs="Times New Roman"/>
          <w:noProof/>
          <w:lang w:val="en-US"/>
        </w:rPr>
        <w:t>, 2859–2878. doi</w:t>
      </w:r>
      <w:r w:rsidR="00D77E80" w:rsidRPr="001B21F0">
        <w:rPr>
          <w:rFonts w:ascii="Book Antiqua" w:hAnsi="Book Antiqua" w:cs="Times New Roman"/>
          <w:noProof/>
          <w:lang w:val="en-US"/>
        </w:rPr>
        <w:t>.org/</w:t>
      </w:r>
      <w:r w:rsidRPr="001B21F0">
        <w:rPr>
          <w:rFonts w:ascii="Book Antiqua" w:hAnsi="Book Antiqua" w:cs="Times New Roman"/>
          <w:noProof/>
          <w:lang w:val="en-US"/>
        </w:rPr>
        <w:t>10.1111/j.1559-1816.2009.00553.x</w:t>
      </w:r>
    </w:p>
    <w:p w14:paraId="389AA441" w14:textId="77777777"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Bottoms, B. L., Peter-Hagene, L. C., Epstein, M. a, Wiley, T. R. a, Reynolds, C. E., &amp; Rudnicki, A. G. (2016). Abuse characteristics and individual differences related to disclosing childhood sexual, physical and emotional abuse and witnessed domestic violence. </w:t>
      </w:r>
      <w:r w:rsidRPr="001B21F0">
        <w:rPr>
          <w:rFonts w:ascii="Book Antiqua" w:hAnsi="Book Antiqua" w:cs="Times New Roman"/>
          <w:i/>
          <w:iCs/>
          <w:noProof/>
          <w:lang w:val="en-US"/>
        </w:rPr>
        <w:t>Journal of Interpersonal Violence</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31</w:t>
      </w:r>
      <w:r w:rsidRPr="001B21F0">
        <w:rPr>
          <w:rFonts w:ascii="Book Antiqua" w:hAnsi="Book Antiqua" w:cs="Times New Roman"/>
          <w:noProof/>
          <w:lang w:val="en-US"/>
        </w:rPr>
        <w:t xml:space="preserve">, 1308–39. </w:t>
      </w:r>
      <w:r w:rsidR="00D77E80" w:rsidRPr="001B21F0">
        <w:rPr>
          <w:rFonts w:ascii="Book Antiqua" w:hAnsi="Book Antiqua" w:cs="Times New Roman"/>
          <w:noProof/>
          <w:lang w:val="en-US"/>
        </w:rPr>
        <w:t>doi.org/</w:t>
      </w:r>
      <w:r w:rsidRPr="001B21F0">
        <w:rPr>
          <w:rFonts w:ascii="Book Antiqua" w:hAnsi="Book Antiqua" w:cs="Times New Roman"/>
          <w:noProof/>
          <w:lang w:val="en-US"/>
        </w:rPr>
        <w:t>10.1177/0886260514564155</w:t>
      </w:r>
    </w:p>
    <w:p w14:paraId="1F9C2529" w14:textId="77777777"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shd w:val="clear" w:color="auto" w:fill="FFFFFF"/>
          <w:lang w:val="en-US"/>
        </w:rPr>
      </w:pPr>
      <w:r w:rsidRPr="001B21F0">
        <w:rPr>
          <w:rFonts w:ascii="Book Antiqua" w:hAnsi="Book Antiqua" w:cs="Times New Roman"/>
          <w:noProof/>
          <w:shd w:val="clear" w:color="auto" w:fill="FFFFFF"/>
          <w:lang w:val="en-US"/>
        </w:rPr>
        <w:t>Bussey, K. (1995). Allegations of child sexual abuse: Accurate and truthful disclosures, false allegations, and false denials. </w:t>
      </w:r>
      <w:r w:rsidRPr="001B21F0">
        <w:rPr>
          <w:rFonts w:ascii="Book Antiqua" w:hAnsi="Book Antiqua" w:cs="Times New Roman"/>
          <w:i/>
          <w:iCs/>
          <w:noProof/>
          <w:shd w:val="clear" w:color="auto" w:fill="FFFFFF"/>
          <w:lang w:val="en-US"/>
        </w:rPr>
        <w:t>Current Issues in Criminal Justice,</w:t>
      </w:r>
      <w:r w:rsidRPr="001B21F0">
        <w:rPr>
          <w:rFonts w:ascii="Book Antiqua" w:hAnsi="Book Antiqua" w:cs="Times New Roman"/>
          <w:noProof/>
          <w:shd w:val="clear" w:color="auto" w:fill="FFFFFF"/>
          <w:lang w:val="en-US"/>
        </w:rPr>
        <w:t> </w:t>
      </w:r>
      <w:r w:rsidRPr="001B21F0">
        <w:rPr>
          <w:rFonts w:ascii="Book Antiqua" w:hAnsi="Book Antiqua" w:cs="Times New Roman"/>
          <w:i/>
          <w:iCs/>
          <w:noProof/>
          <w:shd w:val="clear" w:color="auto" w:fill="FFFFFF"/>
          <w:lang w:val="en-US"/>
        </w:rPr>
        <w:t>7</w:t>
      </w:r>
      <w:r w:rsidRPr="001B21F0">
        <w:rPr>
          <w:rFonts w:ascii="Book Antiqua" w:hAnsi="Book Antiqua" w:cs="Times New Roman"/>
          <w:noProof/>
          <w:shd w:val="clear" w:color="auto" w:fill="FFFFFF"/>
          <w:lang w:val="en-US"/>
        </w:rPr>
        <w:t>, 176-192.</w:t>
      </w:r>
    </w:p>
    <w:p w14:paraId="444A5DAD" w14:textId="77777777" w:rsidR="00B052AE" w:rsidRPr="001B21F0" w:rsidRDefault="00B052AE"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shd w:val="clear" w:color="auto" w:fill="FFFFFF"/>
          <w:lang w:val="en-US"/>
        </w:rPr>
        <w:t xml:space="preserve">Crisma, M., Bascelli, E., Paci, D., &amp; Romito. (2004). Adolescents who experience sexual abuse: Fears, needs and impediments to disclosure. </w:t>
      </w:r>
      <w:r w:rsidRPr="001B21F0">
        <w:rPr>
          <w:rFonts w:ascii="Book Antiqua" w:hAnsi="Book Antiqua" w:cs="Times New Roman"/>
          <w:i/>
          <w:noProof/>
          <w:shd w:val="clear" w:color="auto" w:fill="FFFFFF"/>
          <w:lang w:val="en-US"/>
        </w:rPr>
        <w:t>Child Abuse &amp; Neglect, 28</w:t>
      </w:r>
      <w:r w:rsidRPr="001B21F0">
        <w:rPr>
          <w:rFonts w:ascii="Book Antiqua" w:hAnsi="Book Antiqua" w:cs="Times New Roman"/>
          <w:noProof/>
          <w:shd w:val="clear" w:color="auto" w:fill="FFFFFF"/>
          <w:lang w:val="en-US"/>
        </w:rPr>
        <w:t xml:space="preserve">, 1035-1048. </w:t>
      </w:r>
    </w:p>
    <w:p w14:paraId="73F89022" w14:textId="77777777"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DiPietro, E. K., Runyan, D. K., &amp; Fredrickson, D. D. (1997). Predictors of disclosure during medical evaluation for suspected sexual abuse. </w:t>
      </w:r>
      <w:r w:rsidRPr="001B21F0">
        <w:rPr>
          <w:rFonts w:ascii="Book Antiqua" w:hAnsi="Book Antiqua" w:cs="Times New Roman"/>
          <w:i/>
          <w:iCs/>
          <w:noProof/>
          <w:lang w:val="en-US"/>
        </w:rPr>
        <w:t>Journal of Child Sexual Abuse</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6</w:t>
      </w:r>
      <w:r w:rsidRPr="001B21F0">
        <w:rPr>
          <w:rFonts w:ascii="Book Antiqua" w:hAnsi="Book Antiqua" w:cs="Times New Roman"/>
          <w:noProof/>
          <w:lang w:val="en-US"/>
        </w:rPr>
        <w:t xml:space="preserve">, 133–142. </w:t>
      </w:r>
      <w:r w:rsidR="00D77E80" w:rsidRPr="001B21F0">
        <w:rPr>
          <w:rFonts w:ascii="Book Antiqua" w:hAnsi="Book Antiqua" w:cs="Times New Roman"/>
          <w:noProof/>
          <w:lang w:val="en-US"/>
        </w:rPr>
        <w:t>doi.org/</w:t>
      </w:r>
      <w:r w:rsidRPr="001B21F0">
        <w:rPr>
          <w:rFonts w:ascii="Book Antiqua" w:hAnsi="Book Antiqua" w:cs="Times New Roman"/>
          <w:noProof/>
          <w:lang w:val="en-US"/>
        </w:rPr>
        <w:t>10.1300/J070v06n01_09</w:t>
      </w:r>
    </w:p>
    <w:p w14:paraId="21BE63D6" w14:textId="77777777"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Elliott, D. M., &amp; Briere, J. (1994). Forensic sexual abuse evaluations of older children: Disclosures and symptomatology. </w:t>
      </w:r>
      <w:r w:rsidRPr="001B21F0">
        <w:rPr>
          <w:rFonts w:ascii="Book Antiqua" w:hAnsi="Book Antiqua" w:cs="Times New Roman"/>
          <w:i/>
          <w:iCs/>
          <w:noProof/>
          <w:lang w:val="en-US"/>
        </w:rPr>
        <w:t>Behavioral Sciences &amp; the Law</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12</w:t>
      </w:r>
      <w:r w:rsidRPr="001B21F0">
        <w:rPr>
          <w:rFonts w:ascii="Book Antiqua" w:hAnsi="Book Antiqua" w:cs="Times New Roman"/>
          <w:noProof/>
          <w:lang w:val="en-US"/>
        </w:rPr>
        <w:t xml:space="preserve">, 261–277. </w:t>
      </w:r>
      <w:r w:rsidR="00D77E80" w:rsidRPr="001B21F0">
        <w:rPr>
          <w:rFonts w:ascii="Book Antiqua" w:hAnsi="Book Antiqua" w:cs="Times New Roman"/>
          <w:noProof/>
          <w:lang w:val="en-US"/>
        </w:rPr>
        <w:t>doi.org/</w:t>
      </w:r>
      <w:r w:rsidRPr="001B21F0">
        <w:rPr>
          <w:rFonts w:ascii="Book Antiqua" w:hAnsi="Book Antiqua" w:cs="Times New Roman"/>
          <w:noProof/>
          <w:lang w:val="en-US"/>
        </w:rPr>
        <w:t>10.1002/bsl.2370120306</w:t>
      </w:r>
    </w:p>
    <w:p w14:paraId="2008C968" w14:textId="77777777"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Elliott, M., Browne, K., &amp; Kilcoyne, J. (1995). Child sexual abuse prevention: what offenders tell us. </w:t>
      </w:r>
      <w:r w:rsidRPr="001B21F0">
        <w:rPr>
          <w:rFonts w:ascii="Book Antiqua" w:hAnsi="Book Antiqua" w:cs="Times New Roman"/>
          <w:i/>
          <w:iCs/>
          <w:noProof/>
          <w:lang w:val="en-US"/>
        </w:rPr>
        <w:t>Child Abuse &amp; Neglect</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19</w:t>
      </w:r>
      <w:r w:rsidRPr="001B21F0">
        <w:rPr>
          <w:rFonts w:ascii="Book Antiqua" w:hAnsi="Book Antiqua" w:cs="Times New Roman"/>
          <w:noProof/>
          <w:lang w:val="en-US"/>
        </w:rPr>
        <w:t xml:space="preserve">, 579–94. </w:t>
      </w:r>
      <w:r w:rsidR="00D77E80" w:rsidRPr="001B21F0">
        <w:rPr>
          <w:rFonts w:ascii="Book Antiqua" w:hAnsi="Book Antiqua" w:cs="Times New Roman"/>
          <w:noProof/>
          <w:lang w:val="en-US"/>
        </w:rPr>
        <w:t>doi.org/</w:t>
      </w:r>
      <w:r w:rsidRPr="001B21F0">
        <w:rPr>
          <w:rFonts w:ascii="Book Antiqua" w:hAnsi="Book Antiqua" w:cs="Times New Roman"/>
          <w:noProof/>
          <w:lang w:val="en-US"/>
        </w:rPr>
        <w:t>10.1016/0145-2134(95)00017-3</w:t>
      </w:r>
    </w:p>
    <w:p w14:paraId="287E289C" w14:textId="67F44B56" w:rsidR="005335F9" w:rsidRPr="001B21F0" w:rsidRDefault="005335F9"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Gladstone, G., Parker, G., Mitchell, P., Malhi, G., Wilhelm, K., &amp; Austin, M. (2004). Implications of childhood trauma for depressed women: An analysis of pathways from childhood sexual abuse to deliberate self-harm and revictimization. </w:t>
      </w:r>
      <w:r w:rsidRPr="001B21F0">
        <w:rPr>
          <w:rFonts w:ascii="Book Antiqua" w:hAnsi="Book Antiqua" w:cs="Times New Roman"/>
          <w:i/>
          <w:noProof/>
          <w:lang w:val="en-US"/>
        </w:rPr>
        <w:t>The American Journal of Psychiatry, 161</w:t>
      </w:r>
      <w:r w:rsidRPr="001B21F0">
        <w:rPr>
          <w:rFonts w:ascii="Book Antiqua" w:hAnsi="Book Antiqua" w:cs="Times New Roman"/>
          <w:noProof/>
          <w:lang w:val="en-US"/>
        </w:rPr>
        <w:t>, 1417-25.</w:t>
      </w:r>
    </w:p>
    <w:p w14:paraId="0C236B42" w14:textId="77777777"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Gonzalez, L. S., Waterman, J., Kelly, R. J., McCord, J., &amp; Oliveri, M. K. (1993). Children’s patterns of disclosures and recantations of sexual and ritualistic abuse allegations in psychotherapy. </w:t>
      </w:r>
      <w:r w:rsidRPr="001B21F0">
        <w:rPr>
          <w:rFonts w:ascii="Book Antiqua" w:hAnsi="Book Antiqua" w:cs="Times New Roman"/>
          <w:i/>
          <w:iCs/>
          <w:noProof/>
          <w:lang w:val="en-US"/>
        </w:rPr>
        <w:t>Child Abuse &amp; Neglect</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17</w:t>
      </w:r>
      <w:r w:rsidRPr="001B21F0">
        <w:rPr>
          <w:rFonts w:ascii="Book Antiqua" w:hAnsi="Book Antiqua" w:cs="Times New Roman"/>
          <w:noProof/>
          <w:lang w:val="en-US"/>
        </w:rPr>
        <w:t xml:space="preserve">, 281–289. </w:t>
      </w:r>
      <w:r w:rsidR="00D77E80" w:rsidRPr="001B21F0">
        <w:rPr>
          <w:rFonts w:ascii="Book Antiqua" w:hAnsi="Book Antiqua" w:cs="Times New Roman"/>
          <w:noProof/>
          <w:lang w:val="en-US"/>
        </w:rPr>
        <w:t>doi.org/</w:t>
      </w:r>
      <w:r w:rsidRPr="001B21F0">
        <w:rPr>
          <w:rFonts w:ascii="Book Antiqua" w:hAnsi="Book Antiqua" w:cs="Times New Roman"/>
          <w:noProof/>
          <w:lang w:val="en-US"/>
        </w:rPr>
        <w:t>10.1016/0145-2134(93)90047-9</w:t>
      </w:r>
    </w:p>
    <w:p w14:paraId="45D67999" w14:textId="1A393AC2"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Goodman-Brown, T. B., Edelstein, R. S., Goodman, G. S., Jones, D. P. ., &amp; Gordon, D. S. (2003). Why children tell: </w:t>
      </w:r>
      <w:r w:rsidR="003F2579" w:rsidRPr="001B21F0">
        <w:rPr>
          <w:rFonts w:ascii="Book Antiqua" w:hAnsi="Book Antiqua" w:cs="Times New Roman"/>
          <w:noProof/>
          <w:lang w:val="en-US"/>
        </w:rPr>
        <w:t>A</w:t>
      </w:r>
      <w:r w:rsidRPr="001B21F0">
        <w:rPr>
          <w:rFonts w:ascii="Book Antiqua" w:hAnsi="Book Antiqua" w:cs="Times New Roman"/>
          <w:noProof/>
          <w:lang w:val="en-US"/>
        </w:rPr>
        <w:t xml:space="preserve"> model of children’s disclosure of sexual abuse. </w:t>
      </w:r>
      <w:r w:rsidRPr="001B21F0">
        <w:rPr>
          <w:rFonts w:ascii="Book Antiqua" w:hAnsi="Book Antiqua" w:cs="Times New Roman"/>
          <w:i/>
          <w:iCs/>
          <w:noProof/>
          <w:lang w:val="en-US"/>
        </w:rPr>
        <w:t>Child Abuse &amp; Neglect</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27</w:t>
      </w:r>
      <w:r w:rsidRPr="001B21F0">
        <w:rPr>
          <w:rFonts w:ascii="Book Antiqua" w:hAnsi="Book Antiqua" w:cs="Times New Roman"/>
          <w:noProof/>
          <w:lang w:val="en-US"/>
        </w:rPr>
        <w:t xml:space="preserve">, 525–540. </w:t>
      </w:r>
      <w:r w:rsidR="00D77E80" w:rsidRPr="001B21F0">
        <w:rPr>
          <w:rFonts w:ascii="Book Antiqua" w:hAnsi="Book Antiqua" w:cs="Times New Roman"/>
          <w:noProof/>
          <w:lang w:val="en-US"/>
        </w:rPr>
        <w:t>doi.org/</w:t>
      </w:r>
      <w:r w:rsidRPr="001B21F0">
        <w:rPr>
          <w:rFonts w:ascii="Book Antiqua" w:hAnsi="Book Antiqua" w:cs="Times New Roman"/>
          <w:noProof/>
          <w:lang w:val="en-US"/>
        </w:rPr>
        <w:t>10.1016/S0145-2134(03)00037-1</w:t>
      </w:r>
    </w:p>
    <w:p w14:paraId="5003CC61" w14:textId="77777777"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Hébert, M., Tourigny, M., Cyr, M., McDuff, P., &amp; Joly, J. (2009). Prevalence of childhood sexual abuse and timing of disclosure in a representative sample of adults from Quebec. </w:t>
      </w:r>
      <w:r w:rsidRPr="001B21F0">
        <w:rPr>
          <w:rFonts w:ascii="Book Antiqua" w:hAnsi="Book Antiqua" w:cs="Times New Roman"/>
          <w:i/>
          <w:noProof/>
          <w:lang w:val="en-US"/>
        </w:rPr>
        <w:t>The Canadian Journal of Psychiatry, 54</w:t>
      </w:r>
      <w:r w:rsidRPr="001B21F0">
        <w:rPr>
          <w:rFonts w:ascii="Book Antiqua" w:hAnsi="Book Antiqua" w:cs="Times New Roman"/>
          <w:noProof/>
          <w:lang w:val="en-US"/>
        </w:rPr>
        <w:t>, 631-636.</w:t>
      </w:r>
    </w:p>
    <w:p w14:paraId="3CC4915C" w14:textId="77777777" w:rsidR="00377C95" w:rsidRPr="001B21F0" w:rsidRDefault="00377C95"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shd w:val="clear" w:color="auto" w:fill="FFFFFF"/>
          <w:lang w:val="en-US"/>
        </w:rPr>
        <w:t>Hershkowitz, I. E., Horowitz, D., &amp; Lamb, M. (2005). Trends in children's disclosure of abuse in Israel: A national study. </w:t>
      </w:r>
      <w:r w:rsidRPr="001B21F0">
        <w:rPr>
          <w:rFonts w:ascii="Book Antiqua" w:hAnsi="Book Antiqua" w:cs="Times New Roman"/>
          <w:i/>
          <w:iCs/>
          <w:noProof/>
          <w:shd w:val="clear" w:color="auto" w:fill="FFFFFF"/>
          <w:lang w:val="en-US"/>
        </w:rPr>
        <w:t>Child Abuse and Neglect,</w:t>
      </w:r>
      <w:r w:rsidRPr="001B21F0">
        <w:rPr>
          <w:rFonts w:ascii="Book Antiqua" w:hAnsi="Book Antiqua" w:cs="Times New Roman"/>
          <w:noProof/>
          <w:shd w:val="clear" w:color="auto" w:fill="FFFFFF"/>
          <w:lang w:val="en-US"/>
        </w:rPr>
        <w:t> </w:t>
      </w:r>
      <w:r w:rsidRPr="001B21F0">
        <w:rPr>
          <w:rFonts w:ascii="Book Antiqua" w:hAnsi="Book Antiqua" w:cs="Times New Roman"/>
          <w:i/>
          <w:iCs/>
          <w:noProof/>
          <w:shd w:val="clear" w:color="auto" w:fill="FFFFFF"/>
          <w:lang w:val="en-US"/>
        </w:rPr>
        <w:t>29</w:t>
      </w:r>
      <w:r w:rsidRPr="001B21F0">
        <w:rPr>
          <w:rFonts w:ascii="Book Antiqua" w:hAnsi="Book Antiqua" w:cs="Times New Roman"/>
          <w:noProof/>
          <w:shd w:val="clear" w:color="auto" w:fill="FFFFFF"/>
          <w:lang w:val="en-US"/>
        </w:rPr>
        <w:t>, 1203-1214.</w:t>
      </w:r>
    </w:p>
    <w:p w14:paraId="5C095461" w14:textId="77777777"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Jackson, G. (2006). Denial. </w:t>
      </w:r>
      <w:r w:rsidRPr="001B21F0">
        <w:rPr>
          <w:rFonts w:ascii="Book Antiqua" w:hAnsi="Book Antiqua" w:cs="Times New Roman"/>
          <w:i/>
          <w:iCs/>
          <w:noProof/>
          <w:lang w:val="en-US"/>
        </w:rPr>
        <w:t>International Journal of Clinical Practice</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60</w:t>
      </w:r>
      <w:r w:rsidRPr="001B21F0">
        <w:rPr>
          <w:rFonts w:ascii="Book Antiqua" w:hAnsi="Book Antiqua" w:cs="Times New Roman"/>
          <w:noProof/>
          <w:lang w:val="en-US"/>
        </w:rPr>
        <w:t xml:space="preserve">, 253–255. </w:t>
      </w:r>
      <w:r w:rsidR="00D77E80" w:rsidRPr="001B21F0">
        <w:rPr>
          <w:rFonts w:ascii="Book Antiqua" w:hAnsi="Book Antiqua" w:cs="Times New Roman"/>
          <w:noProof/>
          <w:lang w:val="en-US"/>
        </w:rPr>
        <w:t>doi.org/</w:t>
      </w:r>
      <w:r w:rsidRPr="001B21F0">
        <w:rPr>
          <w:rFonts w:ascii="Book Antiqua" w:hAnsi="Book Antiqua" w:cs="Times New Roman"/>
          <w:noProof/>
          <w:lang w:val="en-US"/>
        </w:rPr>
        <w:t>10.1111/j.1368-5031.2006.0884a.x</w:t>
      </w:r>
    </w:p>
    <w:p w14:paraId="6CF704E5" w14:textId="2BEB2AB6"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Jonzon, E., &amp; Lindblad, F. (2004). Disclosure, reactions, and social support: Findings from a Sample of Adult Victims of Child Sexual Abuse. </w:t>
      </w:r>
      <w:r w:rsidRPr="001B21F0">
        <w:rPr>
          <w:rFonts w:ascii="Book Antiqua" w:hAnsi="Book Antiqua" w:cs="Times New Roman"/>
          <w:i/>
          <w:noProof/>
          <w:lang w:val="en-US"/>
        </w:rPr>
        <w:t>Child Maltreatment, 9</w:t>
      </w:r>
      <w:r w:rsidRPr="001B21F0">
        <w:rPr>
          <w:rFonts w:ascii="Book Antiqua" w:hAnsi="Book Antiqua" w:cs="Times New Roman"/>
          <w:noProof/>
          <w:lang w:val="en-US"/>
        </w:rPr>
        <w:t>, 190-200.</w:t>
      </w:r>
    </w:p>
    <w:p w14:paraId="5B83C877" w14:textId="77777777" w:rsidR="00E90DE5" w:rsidRPr="001B21F0" w:rsidRDefault="00E90DE5" w:rsidP="00DB47B6">
      <w:pPr>
        <w:widowControl w:val="0"/>
        <w:autoSpaceDE w:val="0"/>
        <w:autoSpaceDN w:val="0"/>
        <w:adjustRightInd w:val="0"/>
        <w:spacing w:after="0" w:line="240" w:lineRule="auto"/>
        <w:ind w:left="284" w:hanging="284"/>
        <w:jc w:val="both"/>
        <w:rPr>
          <w:rFonts w:ascii="Book Antiqua" w:hAnsi="Book Antiqua" w:cs="Times New Roman"/>
          <w:noProof/>
          <w:shd w:val="clear" w:color="auto" w:fill="FFFFFF"/>
          <w:lang w:val="en-US"/>
        </w:rPr>
      </w:pPr>
      <w:r w:rsidRPr="001B21F0">
        <w:rPr>
          <w:rFonts w:ascii="Book Antiqua" w:hAnsi="Book Antiqua" w:cs="Times New Roman"/>
          <w:noProof/>
          <w:shd w:val="clear" w:color="auto" w:fill="FFFFFF"/>
          <w:lang w:val="en-US"/>
        </w:rPr>
        <w:t>Keary, &amp; Fitzpatrick. (1994). Children's disclosure of sexual abuse during formal investigation. </w:t>
      </w:r>
      <w:r w:rsidRPr="001B21F0">
        <w:rPr>
          <w:rFonts w:ascii="Book Antiqua" w:hAnsi="Book Antiqua" w:cs="Times New Roman"/>
          <w:i/>
          <w:iCs/>
          <w:noProof/>
          <w:shd w:val="clear" w:color="auto" w:fill="FFFFFF"/>
          <w:lang w:val="en-US"/>
        </w:rPr>
        <w:t>Child Abuse &amp; Neglect,</w:t>
      </w:r>
      <w:r w:rsidRPr="001B21F0">
        <w:rPr>
          <w:rFonts w:ascii="Book Antiqua" w:hAnsi="Book Antiqua" w:cs="Times New Roman"/>
          <w:noProof/>
          <w:shd w:val="clear" w:color="auto" w:fill="FFFFFF"/>
          <w:lang w:val="en-US"/>
        </w:rPr>
        <w:t> </w:t>
      </w:r>
      <w:r w:rsidRPr="001B21F0">
        <w:rPr>
          <w:rFonts w:ascii="Book Antiqua" w:hAnsi="Book Antiqua" w:cs="Times New Roman"/>
          <w:i/>
          <w:iCs/>
          <w:noProof/>
          <w:shd w:val="clear" w:color="auto" w:fill="FFFFFF"/>
          <w:lang w:val="en-US"/>
        </w:rPr>
        <w:t>18</w:t>
      </w:r>
      <w:r w:rsidRPr="001B21F0">
        <w:rPr>
          <w:rFonts w:ascii="Book Antiqua" w:hAnsi="Book Antiqua" w:cs="Times New Roman"/>
          <w:noProof/>
          <w:shd w:val="clear" w:color="auto" w:fill="FFFFFF"/>
          <w:lang w:val="en-US"/>
        </w:rPr>
        <w:t>, 543-548.</w:t>
      </w:r>
    </w:p>
    <w:p w14:paraId="69AE600F" w14:textId="77777777" w:rsidR="00427ECF" w:rsidRPr="001B21F0" w:rsidRDefault="00427ECF"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Kogan, S. M. (2005). The role of disclosing child sexual abuse on adolescent adjustment and revictimization. </w:t>
      </w:r>
      <w:r w:rsidRPr="001B21F0">
        <w:rPr>
          <w:rFonts w:ascii="Book Antiqua" w:hAnsi="Book Antiqua" w:cs="Times New Roman"/>
          <w:i/>
          <w:iCs/>
          <w:noProof/>
          <w:lang w:val="en-US"/>
        </w:rPr>
        <w:t>Journal of Child Sexual Abuse</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14</w:t>
      </w:r>
      <w:r w:rsidRPr="001B21F0">
        <w:rPr>
          <w:rFonts w:ascii="Book Antiqua" w:hAnsi="Book Antiqua" w:cs="Times New Roman"/>
          <w:noProof/>
          <w:lang w:val="en-US"/>
        </w:rPr>
        <w:t>, 25–47. doi.org/10.1300/J070v14n02_02</w:t>
      </w:r>
    </w:p>
    <w:p w14:paraId="61A80FB1" w14:textId="77777777"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Leander, L. (2010). Police interviews with child sexual abuse victims: patterns of reporting, avoidance and denial. </w:t>
      </w:r>
      <w:r w:rsidRPr="001B21F0">
        <w:rPr>
          <w:rFonts w:ascii="Book Antiqua" w:hAnsi="Book Antiqua" w:cs="Times New Roman"/>
          <w:i/>
          <w:iCs/>
          <w:noProof/>
          <w:lang w:val="en-US"/>
        </w:rPr>
        <w:t>Child Abuse &amp; Neglect</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34</w:t>
      </w:r>
      <w:r w:rsidRPr="001B21F0">
        <w:rPr>
          <w:rFonts w:ascii="Book Antiqua" w:hAnsi="Book Antiqua" w:cs="Times New Roman"/>
          <w:noProof/>
          <w:lang w:val="en-US"/>
        </w:rPr>
        <w:t>, 192–205. doi:10.1016/j.chiabu.2009.09.011</w:t>
      </w:r>
    </w:p>
    <w:p w14:paraId="076ED6E4" w14:textId="77777777"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Leander, L., Christianson, S. Å., &amp; Granhag, P. A. (2007). A sexual abuse case study: Children’s memories and reports. </w:t>
      </w:r>
      <w:r w:rsidRPr="001B21F0">
        <w:rPr>
          <w:rFonts w:ascii="Book Antiqua" w:hAnsi="Book Antiqua" w:cs="Times New Roman"/>
          <w:i/>
          <w:iCs/>
          <w:noProof/>
          <w:lang w:val="en-US"/>
        </w:rPr>
        <w:t>Psychiatry, Psychology and Law</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14</w:t>
      </w:r>
      <w:r w:rsidRPr="001B21F0">
        <w:rPr>
          <w:rFonts w:ascii="Book Antiqua" w:hAnsi="Book Antiqua" w:cs="Times New Roman"/>
          <w:noProof/>
          <w:lang w:val="en-US"/>
        </w:rPr>
        <w:t xml:space="preserve">, 120–129. </w:t>
      </w:r>
      <w:r w:rsidR="00D77E80" w:rsidRPr="001B21F0">
        <w:rPr>
          <w:rFonts w:ascii="Book Antiqua" w:hAnsi="Book Antiqua" w:cs="Times New Roman"/>
          <w:noProof/>
          <w:lang w:val="en-US"/>
        </w:rPr>
        <w:t>doi.org/</w:t>
      </w:r>
      <w:r w:rsidRPr="001B21F0">
        <w:rPr>
          <w:rFonts w:ascii="Book Antiqua" w:hAnsi="Book Antiqua" w:cs="Times New Roman"/>
          <w:noProof/>
          <w:lang w:val="en-US"/>
        </w:rPr>
        <w:t>10.1375/pplt.14.1.120</w:t>
      </w:r>
    </w:p>
    <w:p w14:paraId="42369749" w14:textId="77777777"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London, K., Bruck, M., Ceci, S., &amp; Shuman, D. (2005). Disclosure of child sexual abuse: What does the research tell us about the ways that children tell?. </w:t>
      </w:r>
      <w:r w:rsidRPr="001B21F0">
        <w:rPr>
          <w:rFonts w:ascii="Book Antiqua" w:hAnsi="Book Antiqua" w:cs="Times New Roman"/>
          <w:i/>
          <w:noProof/>
          <w:lang w:val="en-US"/>
        </w:rPr>
        <w:t>Psychology, Public Policy, and Law, 11</w:t>
      </w:r>
      <w:r w:rsidRPr="001B21F0">
        <w:rPr>
          <w:rFonts w:ascii="Book Antiqua" w:hAnsi="Book Antiqua" w:cs="Times New Roman"/>
          <w:noProof/>
          <w:lang w:val="en-US"/>
        </w:rPr>
        <w:t xml:space="preserve">, 194-226. </w:t>
      </w:r>
      <w:r w:rsidR="00D77E80" w:rsidRPr="001B21F0">
        <w:rPr>
          <w:rFonts w:ascii="Book Antiqua" w:hAnsi="Book Antiqua" w:cs="Times New Roman"/>
          <w:noProof/>
          <w:lang w:val="en-US"/>
        </w:rPr>
        <w:t>doi.org/</w:t>
      </w:r>
      <w:r w:rsidRPr="001B21F0">
        <w:rPr>
          <w:rFonts w:ascii="Book Antiqua" w:hAnsi="Book Antiqua" w:cs="Times New Roman"/>
          <w:noProof/>
          <w:lang w:val="en-US"/>
        </w:rPr>
        <w:t>10.1037//176-8971.11.1.194</w:t>
      </w:r>
    </w:p>
    <w:p w14:paraId="435696AC" w14:textId="77777777"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London, K., Bruck, M., Wright, D. B., &amp; Ceci, S. J. (2008). Review of the contemporary literature on how children report sexual abuse to others: Findings, methodological issues, and implications for forensic interviewers. </w:t>
      </w:r>
      <w:r w:rsidRPr="001B21F0">
        <w:rPr>
          <w:rFonts w:ascii="Book Antiqua" w:hAnsi="Book Antiqua" w:cs="Times New Roman"/>
          <w:i/>
          <w:iCs/>
          <w:noProof/>
          <w:lang w:val="en-US"/>
        </w:rPr>
        <w:t>Memory</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16</w:t>
      </w:r>
      <w:r w:rsidRPr="001B21F0">
        <w:rPr>
          <w:rFonts w:ascii="Book Antiqua" w:hAnsi="Book Antiqua" w:cs="Times New Roman"/>
          <w:noProof/>
          <w:lang w:val="en-US"/>
        </w:rPr>
        <w:t xml:space="preserve">, 29–47. </w:t>
      </w:r>
      <w:r w:rsidR="00D77E80" w:rsidRPr="001B21F0">
        <w:rPr>
          <w:rFonts w:ascii="Book Antiqua" w:hAnsi="Book Antiqua" w:cs="Times New Roman"/>
          <w:noProof/>
          <w:lang w:val="en-US"/>
        </w:rPr>
        <w:t>doi.org/</w:t>
      </w:r>
      <w:r w:rsidRPr="001B21F0">
        <w:rPr>
          <w:rFonts w:ascii="Book Antiqua" w:hAnsi="Book Antiqua" w:cs="Times New Roman"/>
          <w:noProof/>
          <w:lang w:val="en-US"/>
        </w:rPr>
        <w:t>10.1080/09658210701725732</w:t>
      </w:r>
    </w:p>
    <w:p w14:paraId="6BDF2570" w14:textId="77777777"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Lyon, T. (1995). False allegations and false denials in child sexual abuse. </w:t>
      </w:r>
      <w:r w:rsidRPr="001B21F0">
        <w:rPr>
          <w:rFonts w:ascii="Book Antiqua" w:hAnsi="Book Antiqua" w:cs="Times New Roman"/>
          <w:i/>
          <w:iCs/>
          <w:noProof/>
          <w:lang w:val="en-US"/>
        </w:rPr>
        <w:t>Psychology, Public Policy, &amp; Law,</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1</w:t>
      </w:r>
      <w:r w:rsidRPr="001B21F0">
        <w:rPr>
          <w:rFonts w:ascii="Book Antiqua" w:hAnsi="Book Antiqua" w:cs="Times New Roman"/>
          <w:noProof/>
          <w:lang w:val="en-US"/>
        </w:rPr>
        <w:t>, 429–437. doi.org/10.1037/1076-8971.1.2.429</w:t>
      </w:r>
    </w:p>
    <w:p w14:paraId="6AAC3B89" w14:textId="77777777" w:rsidR="00971E98" w:rsidRPr="001B21F0" w:rsidRDefault="00971E98"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shd w:val="clear" w:color="auto" w:fill="FFFFFF"/>
        </w:rPr>
        <w:t xml:space="preserve">Magnusson, M., Ernberg, E., &amp; Landström, S. </w:t>
      </w:r>
      <w:r w:rsidRPr="001B21F0">
        <w:rPr>
          <w:rFonts w:ascii="Book Antiqua" w:hAnsi="Book Antiqua" w:cs="Times New Roman"/>
          <w:shd w:val="clear" w:color="auto" w:fill="FFFFFF"/>
        </w:rPr>
        <w:lastRenderedPageBreak/>
        <w:t xml:space="preserve">(2017). </w:t>
      </w:r>
      <w:r w:rsidRPr="001B21F0">
        <w:rPr>
          <w:rFonts w:ascii="Book Antiqua" w:hAnsi="Book Antiqua" w:cs="Times New Roman"/>
          <w:shd w:val="clear" w:color="auto" w:fill="FFFFFF"/>
          <w:lang w:val="en-US"/>
        </w:rPr>
        <w:t xml:space="preserve">Preschoolers’ disclosures of child sexual abuse: Examining corroborated cases from Swedish courts. </w:t>
      </w:r>
      <w:r w:rsidRPr="001B21F0">
        <w:rPr>
          <w:rFonts w:ascii="Book Antiqua" w:hAnsi="Book Antiqua" w:cs="Times New Roman"/>
          <w:i/>
          <w:shd w:val="clear" w:color="auto" w:fill="FFFFFF"/>
          <w:lang w:val="en-US"/>
        </w:rPr>
        <w:t>Child Abuse &amp; Neglect, 70</w:t>
      </w:r>
      <w:r w:rsidRPr="001B21F0">
        <w:rPr>
          <w:rFonts w:ascii="Book Antiqua" w:hAnsi="Book Antiqua" w:cs="Times New Roman"/>
          <w:shd w:val="clear" w:color="auto" w:fill="FFFFFF"/>
          <w:lang w:val="en-US"/>
        </w:rPr>
        <w:t>, 199-209.</w:t>
      </w:r>
    </w:p>
    <w:p w14:paraId="6C74EEBA" w14:textId="20534CAC"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Malloy, L. C., Brubacher, S. P., &amp; Lamb, M. E. (2013). “Because she’s one who listens”: </w:t>
      </w:r>
      <w:r w:rsidR="007E2136" w:rsidRPr="001B21F0">
        <w:rPr>
          <w:rFonts w:ascii="Book Antiqua" w:hAnsi="Book Antiqua" w:cs="Times New Roman"/>
          <w:noProof/>
          <w:lang w:val="en-US"/>
        </w:rPr>
        <w:t>C</w:t>
      </w:r>
      <w:r w:rsidRPr="001B21F0">
        <w:rPr>
          <w:rFonts w:ascii="Book Antiqua" w:hAnsi="Book Antiqua" w:cs="Times New Roman"/>
          <w:noProof/>
          <w:lang w:val="en-US"/>
        </w:rPr>
        <w:t xml:space="preserve">hildren discuss disclosure recipients in forensic interviews. </w:t>
      </w:r>
      <w:r w:rsidRPr="001B21F0">
        <w:rPr>
          <w:rFonts w:ascii="Book Antiqua" w:hAnsi="Book Antiqua" w:cs="Times New Roman"/>
          <w:i/>
          <w:iCs/>
          <w:noProof/>
          <w:lang w:val="en-US"/>
        </w:rPr>
        <w:t>Child Maltreatment</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18</w:t>
      </w:r>
      <w:r w:rsidRPr="001B21F0">
        <w:rPr>
          <w:rFonts w:ascii="Book Antiqua" w:hAnsi="Book Antiqua" w:cs="Times New Roman"/>
          <w:noProof/>
          <w:lang w:val="en-US"/>
        </w:rPr>
        <w:t>, 245–51.</w:t>
      </w:r>
      <w:r w:rsidR="00D77E80" w:rsidRPr="001B21F0">
        <w:rPr>
          <w:rFonts w:ascii="Book Antiqua" w:hAnsi="Book Antiqua" w:cs="Times New Roman"/>
          <w:noProof/>
          <w:lang w:val="en-US"/>
        </w:rPr>
        <w:t xml:space="preserve"> doi.org/</w:t>
      </w:r>
      <w:r w:rsidRPr="001B21F0">
        <w:rPr>
          <w:rFonts w:ascii="Book Antiqua" w:hAnsi="Book Antiqua" w:cs="Times New Roman"/>
          <w:noProof/>
          <w:lang w:val="en-US"/>
        </w:rPr>
        <w:t>10.1177/1077559513497250</w:t>
      </w:r>
    </w:p>
    <w:p w14:paraId="5CF74E5A" w14:textId="77777777"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Malloy, L. C., Lyon, T. D., &amp; Quas, J. A. (2007). Filial dependency and recantation of child sexual abuse allegations. </w:t>
      </w:r>
      <w:r w:rsidRPr="001B21F0">
        <w:rPr>
          <w:rFonts w:ascii="Book Antiqua" w:hAnsi="Book Antiqua" w:cs="Times New Roman"/>
          <w:i/>
          <w:iCs/>
          <w:noProof/>
          <w:lang w:val="en-US"/>
        </w:rPr>
        <w:t>Journal of the American Academy of Child and Adolescent Psychiatry</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46</w:t>
      </w:r>
      <w:r w:rsidRPr="001B21F0">
        <w:rPr>
          <w:rFonts w:ascii="Book Antiqua" w:hAnsi="Book Antiqua" w:cs="Times New Roman"/>
          <w:noProof/>
          <w:lang w:val="en-US"/>
        </w:rPr>
        <w:t xml:space="preserve">, 162–70. </w:t>
      </w:r>
      <w:r w:rsidR="00D77E80" w:rsidRPr="001B21F0">
        <w:rPr>
          <w:rFonts w:ascii="Book Antiqua" w:hAnsi="Book Antiqua" w:cs="Times New Roman"/>
          <w:noProof/>
          <w:lang w:val="en-US"/>
        </w:rPr>
        <w:t>doi.org/</w:t>
      </w:r>
      <w:r w:rsidRPr="001B21F0">
        <w:rPr>
          <w:rFonts w:ascii="Book Antiqua" w:hAnsi="Book Antiqua" w:cs="Times New Roman"/>
          <w:noProof/>
          <w:lang w:val="en-US"/>
        </w:rPr>
        <w:t>10.1097/01.chi.0000246067.77953.f7</w:t>
      </w:r>
    </w:p>
    <w:p w14:paraId="143F9F43" w14:textId="650D95E2" w:rsidR="00464BDB"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Malloy, L. C., Rivard, J., Mungo, A. P., &amp; Molinaro, P. (2014</w:t>
      </w:r>
      <w:r w:rsidR="00464BDB" w:rsidRPr="001B21F0">
        <w:rPr>
          <w:rFonts w:ascii="Book Antiqua" w:hAnsi="Book Antiqua" w:cs="Times New Roman"/>
          <w:noProof/>
          <w:lang w:val="en-US"/>
        </w:rPr>
        <w:t>, March</w:t>
      </w:r>
      <w:r w:rsidRPr="001B21F0">
        <w:rPr>
          <w:rFonts w:ascii="Book Antiqua" w:hAnsi="Book Antiqua" w:cs="Times New Roman"/>
          <w:noProof/>
          <w:lang w:val="en-US"/>
        </w:rPr>
        <w:t xml:space="preserve">). </w:t>
      </w:r>
      <w:r w:rsidR="00464BDB" w:rsidRPr="001B21F0">
        <w:rPr>
          <w:rFonts w:ascii="Book Antiqua" w:hAnsi="Book Antiqua" w:cs="Times New Roman"/>
          <w:noProof/>
          <w:lang w:val="en-US"/>
        </w:rPr>
        <w:t xml:space="preserve">Expert </w:t>
      </w:r>
      <w:r w:rsidR="003F2579" w:rsidRPr="001B21F0">
        <w:rPr>
          <w:rFonts w:ascii="Book Antiqua" w:hAnsi="Book Antiqua" w:cs="Times New Roman"/>
          <w:noProof/>
          <w:lang w:val="en-US"/>
        </w:rPr>
        <w:t>o</w:t>
      </w:r>
      <w:r w:rsidR="00464BDB" w:rsidRPr="001B21F0">
        <w:rPr>
          <w:rFonts w:ascii="Book Antiqua" w:hAnsi="Book Antiqua" w:cs="Times New Roman"/>
          <w:noProof/>
          <w:lang w:val="en-US"/>
        </w:rPr>
        <w:t xml:space="preserve">pinion: </w:t>
      </w:r>
      <w:r w:rsidR="00BA1891" w:rsidRPr="001B21F0">
        <w:rPr>
          <w:rFonts w:ascii="Book Antiqua" w:hAnsi="Book Antiqua" w:cs="Times New Roman"/>
          <w:noProof/>
          <w:lang w:val="en-US"/>
        </w:rPr>
        <w:t>R</w:t>
      </w:r>
      <w:r w:rsidR="00464BDB" w:rsidRPr="001B21F0">
        <w:rPr>
          <w:rFonts w:ascii="Book Antiqua" w:hAnsi="Book Antiqua" w:cs="Times New Roman"/>
          <w:noProof/>
          <w:lang w:val="en-US"/>
        </w:rPr>
        <w:t xml:space="preserve">ecantation in legal contexts. </w:t>
      </w:r>
      <w:r w:rsidR="00464BDB" w:rsidRPr="001B21F0">
        <w:rPr>
          <w:rFonts w:ascii="Book Antiqua" w:hAnsi="Book Antiqua" w:cs="Times New Roman"/>
          <w:i/>
          <w:noProof/>
          <w:lang w:val="en-US"/>
        </w:rPr>
        <w:t>AP-LS News.</w:t>
      </w:r>
      <w:r w:rsidR="00464BDB" w:rsidRPr="001B21F0">
        <w:rPr>
          <w:rFonts w:ascii="Book Antiqua" w:hAnsi="Book Antiqua" w:cs="Times New Roman"/>
          <w:noProof/>
          <w:lang w:val="en-US"/>
        </w:rPr>
        <w:t xml:space="preserve"> Retrieved from</w:t>
      </w:r>
      <w:r w:rsidR="00464BDB" w:rsidRPr="001B21F0">
        <w:rPr>
          <w:rFonts w:ascii="Book Antiqua" w:hAnsi="Book Antiqua" w:cs="Times New Roman"/>
          <w:i/>
          <w:noProof/>
          <w:lang w:val="en-US"/>
        </w:rPr>
        <w:t xml:space="preserve"> </w:t>
      </w:r>
      <w:r w:rsidR="00464BDB" w:rsidRPr="001B21F0">
        <w:rPr>
          <w:rFonts w:ascii="Book Antiqua" w:hAnsi="Book Antiqua" w:cs="Times New Roman"/>
          <w:noProof/>
          <w:lang w:val="en-US"/>
        </w:rPr>
        <w:t>http://www.apadivisions.org/division-41/publications/newsletters/news/2014/03/recantation.aspx</w:t>
      </w:r>
    </w:p>
    <w:p w14:paraId="73797CD6" w14:textId="67CD7D4B" w:rsidR="005335F9" w:rsidRPr="001B21F0" w:rsidRDefault="005335F9"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Maniglio, R. (2011). The role of child sexual abuse in the etiology of suicide and non-suicidal self-injury. </w:t>
      </w:r>
      <w:r w:rsidRPr="001B21F0">
        <w:rPr>
          <w:rFonts w:ascii="Book Antiqua" w:hAnsi="Book Antiqua" w:cs="Times New Roman"/>
          <w:i/>
          <w:noProof/>
          <w:lang w:val="en-US"/>
        </w:rPr>
        <w:t>Acta Psychiatrica Scandinavica, 124</w:t>
      </w:r>
      <w:r w:rsidRPr="001B21F0">
        <w:rPr>
          <w:rFonts w:ascii="Book Antiqua" w:hAnsi="Book Antiqua" w:cs="Times New Roman"/>
          <w:noProof/>
          <w:lang w:val="en-US"/>
        </w:rPr>
        <w:t>, 30-41.</w:t>
      </w:r>
    </w:p>
    <w:p w14:paraId="25D92029" w14:textId="77777777"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Manousos, I. R., &amp; Williams, D. I. (1998). The locus of denial. </w:t>
      </w:r>
      <w:r w:rsidRPr="001B21F0">
        <w:rPr>
          <w:rFonts w:ascii="Book Antiqua" w:hAnsi="Book Antiqua" w:cs="Times New Roman"/>
          <w:i/>
          <w:iCs/>
          <w:noProof/>
          <w:lang w:val="en-US"/>
        </w:rPr>
        <w:t>Counselling Psychology Quarterly</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11</w:t>
      </w:r>
      <w:r w:rsidRPr="001B21F0">
        <w:rPr>
          <w:rFonts w:ascii="Book Antiqua" w:hAnsi="Book Antiqua" w:cs="Times New Roman"/>
          <w:noProof/>
          <w:lang w:val="en-US"/>
        </w:rPr>
        <w:t>, 15–22. doi:10.1080/09515079808254039</w:t>
      </w:r>
    </w:p>
    <w:p w14:paraId="798F2FA8" w14:textId="77777777" w:rsidR="0074683F" w:rsidRPr="001B21F0" w:rsidRDefault="0074683F"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Marx, S. (1996). Victim recantation in child sexual abuse cases: The prosecutor's role in prevention. </w:t>
      </w:r>
      <w:r w:rsidRPr="001B21F0">
        <w:rPr>
          <w:rFonts w:ascii="Book Antiqua" w:hAnsi="Book Antiqua" w:cs="Times New Roman"/>
          <w:i/>
          <w:noProof/>
          <w:lang w:val="en-US"/>
        </w:rPr>
        <w:t>Child Welfare, 75</w:t>
      </w:r>
      <w:r w:rsidRPr="001B21F0">
        <w:rPr>
          <w:rFonts w:ascii="Book Antiqua" w:hAnsi="Book Antiqua" w:cs="Times New Roman"/>
          <w:noProof/>
          <w:lang w:val="en-US"/>
        </w:rPr>
        <w:t>, 219-234.</w:t>
      </w:r>
    </w:p>
    <w:p w14:paraId="05243526" w14:textId="77777777" w:rsidR="0074683F" w:rsidRPr="001B21F0" w:rsidRDefault="0074683F"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Marx, S. (2000). Victim recantation in child sexual abuse cases: A team approach to prevention, investigation, and trial. </w:t>
      </w:r>
      <w:r w:rsidRPr="001B21F0">
        <w:rPr>
          <w:rFonts w:ascii="Book Antiqua" w:hAnsi="Book Antiqua" w:cs="Times New Roman"/>
          <w:i/>
          <w:iCs/>
          <w:noProof/>
          <w:lang w:val="en-US"/>
        </w:rPr>
        <w:t xml:space="preserve">Journal of Aggression, Maltreatment &amp; Trauma, 2, </w:t>
      </w:r>
      <w:r w:rsidRPr="001B21F0">
        <w:rPr>
          <w:rFonts w:ascii="Book Antiqua" w:hAnsi="Book Antiqua" w:cs="Times New Roman"/>
          <w:iCs/>
          <w:noProof/>
          <w:lang w:val="en-US"/>
        </w:rPr>
        <w:t>105-140</w:t>
      </w:r>
      <w:r w:rsidRPr="001B21F0">
        <w:rPr>
          <w:rFonts w:ascii="Book Antiqua" w:hAnsi="Book Antiqua" w:cs="Times New Roman"/>
          <w:noProof/>
          <w:lang w:val="en-US"/>
        </w:rPr>
        <w:t>. doi.org/10.1300/J146v02n02_06</w:t>
      </w:r>
    </w:p>
    <w:p w14:paraId="15B39465" w14:textId="77777777" w:rsidR="008F7E01" w:rsidRPr="001B21F0" w:rsidRDefault="008F7E01" w:rsidP="00DB47B6">
      <w:pPr>
        <w:widowControl w:val="0"/>
        <w:autoSpaceDE w:val="0"/>
        <w:autoSpaceDN w:val="0"/>
        <w:adjustRightInd w:val="0"/>
        <w:spacing w:after="0" w:line="240" w:lineRule="auto"/>
        <w:ind w:left="284" w:hanging="284"/>
        <w:jc w:val="both"/>
        <w:rPr>
          <w:rFonts w:ascii="Book Antiqua" w:hAnsi="Book Antiqua" w:cs="Times New Roman"/>
          <w:noProof/>
          <w:shd w:val="clear" w:color="auto" w:fill="FFFFFF"/>
          <w:lang w:val="en-US"/>
        </w:rPr>
      </w:pPr>
      <w:r w:rsidRPr="001B21F0">
        <w:rPr>
          <w:rFonts w:ascii="Book Antiqua" w:hAnsi="Book Antiqua" w:cs="Times New Roman"/>
          <w:noProof/>
          <w:shd w:val="clear" w:color="auto" w:fill="FFFFFF"/>
          <w:lang w:val="en-US"/>
        </w:rPr>
        <w:t>Mollon, P. (1996). Incest, false accusations of incest and false denials of incest. Discerning the truth in the debate about recovered memory. </w:t>
      </w:r>
      <w:r w:rsidRPr="001B21F0">
        <w:rPr>
          <w:rFonts w:ascii="Book Antiqua" w:hAnsi="Book Antiqua" w:cs="Times New Roman"/>
          <w:i/>
          <w:iCs/>
          <w:noProof/>
          <w:shd w:val="clear" w:color="auto" w:fill="FFFFFF"/>
          <w:lang w:val="en-US"/>
        </w:rPr>
        <w:t>Journal of Mental Health,</w:t>
      </w:r>
      <w:r w:rsidRPr="001B21F0">
        <w:rPr>
          <w:rFonts w:ascii="Book Antiqua" w:hAnsi="Book Antiqua" w:cs="Times New Roman"/>
          <w:noProof/>
          <w:shd w:val="clear" w:color="auto" w:fill="FFFFFF"/>
          <w:lang w:val="en-US"/>
        </w:rPr>
        <w:t> </w:t>
      </w:r>
      <w:r w:rsidRPr="001B21F0">
        <w:rPr>
          <w:rFonts w:ascii="Book Antiqua" w:hAnsi="Book Antiqua" w:cs="Times New Roman"/>
          <w:i/>
          <w:iCs/>
          <w:noProof/>
          <w:shd w:val="clear" w:color="auto" w:fill="FFFFFF"/>
          <w:lang w:val="en-US"/>
        </w:rPr>
        <w:t>5</w:t>
      </w:r>
      <w:r w:rsidRPr="001B21F0">
        <w:rPr>
          <w:rFonts w:ascii="Book Antiqua" w:hAnsi="Book Antiqua" w:cs="Times New Roman"/>
          <w:noProof/>
          <w:shd w:val="clear" w:color="auto" w:fill="FFFFFF"/>
          <w:lang w:val="en-US"/>
        </w:rPr>
        <w:t>, 167-172.</w:t>
      </w:r>
    </w:p>
    <w:p w14:paraId="5A83C000" w14:textId="77777777" w:rsidR="008F6423" w:rsidRPr="001B21F0" w:rsidRDefault="008F6423" w:rsidP="001B21F0">
      <w:pPr>
        <w:widowControl w:val="0"/>
        <w:autoSpaceDE w:val="0"/>
        <w:autoSpaceDN w:val="0"/>
        <w:adjustRightInd w:val="0"/>
        <w:spacing w:line="240" w:lineRule="auto"/>
        <w:ind w:left="480" w:hanging="480"/>
        <w:jc w:val="both"/>
        <w:rPr>
          <w:rFonts w:ascii="Book Antiqua" w:hAnsi="Book Antiqua" w:cs="Times New Roman"/>
          <w:noProof/>
          <w:szCs w:val="24"/>
          <w:lang w:val="en-US"/>
        </w:rPr>
      </w:pPr>
      <w:r w:rsidRPr="001B21F0">
        <w:rPr>
          <w:rFonts w:ascii="Book Antiqua" w:hAnsi="Book Antiqua" w:cs="Times New Roman"/>
          <w:noProof/>
          <w:szCs w:val="24"/>
          <w:lang w:val="en-US"/>
        </w:rPr>
        <w:t xml:space="preserve">Newlin, C., Steele, L. C., Chamberlin, A., Anderson, J., Kenniston, J., Russell, A., … Vaughan-Eden, V. (2015). Child forensic interviewing: Best practices. </w:t>
      </w:r>
      <w:r w:rsidRPr="001B21F0">
        <w:rPr>
          <w:rFonts w:ascii="Book Antiqua" w:hAnsi="Book Antiqua" w:cs="Times New Roman"/>
          <w:i/>
          <w:iCs/>
          <w:noProof/>
          <w:szCs w:val="24"/>
          <w:lang w:val="en-US"/>
        </w:rPr>
        <w:t>Juvenile Justice Bulletin</w:t>
      </w:r>
      <w:r w:rsidRPr="001B21F0">
        <w:rPr>
          <w:rFonts w:ascii="Book Antiqua" w:hAnsi="Book Antiqua" w:cs="Times New Roman"/>
          <w:noProof/>
          <w:szCs w:val="24"/>
          <w:lang w:val="en-US"/>
        </w:rPr>
        <w:t>.. Retrieved from http://www.ojjdp.gov/pubs/248749.pdf</w:t>
      </w:r>
    </w:p>
    <w:p w14:paraId="2550B5D1" w14:textId="30443803" w:rsidR="00A966B3" w:rsidRPr="001B21F0" w:rsidRDefault="00E819EC" w:rsidP="00DB47B6">
      <w:pPr>
        <w:widowControl w:val="0"/>
        <w:autoSpaceDE w:val="0"/>
        <w:autoSpaceDN w:val="0"/>
        <w:adjustRightInd w:val="0"/>
        <w:spacing w:after="0" w:line="240" w:lineRule="auto"/>
        <w:ind w:left="284" w:hanging="284"/>
        <w:jc w:val="both"/>
        <w:rPr>
          <w:rFonts w:ascii="Book Antiqua" w:hAnsi="Book Antiqua" w:cs="Times New Roman"/>
          <w:lang w:val="en-US"/>
        </w:rPr>
      </w:pPr>
      <w:r w:rsidRPr="001B21F0">
        <w:rPr>
          <w:rFonts w:ascii="Book Antiqua" w:hAnsi="Book Antiqua" w:cs="Times New Roman"/>
          <w:lang w:val="en-US"/>
        </w:rPr>
        <w:t xml:space="preserve">Ost, </w:t>
      </w:r>
      <w:r w:rsidR="00A966B3" w:rsidRPr="001B21F0">
        <w:rPr>
          <w:rFonts w:ascii="Book Antiqua" w:hAnsi="Book Antiqua" w:cs="Times New Roman"/>
          <w:lang w:val="en-US"/>
        </w:rPr>
        <w:t>J</w:t>
      </w:r>
      <w:r w:rsidRPr="001B21F0">
        <w:rPr>
          <w:rFonts w:ascii="Book Antiqua" w:hAnsi="Book Antiqua" w:cs="Times New Roman"/>
          <w:lang w:val="en-US"/>
        </w:rPr>
        <w:t>.</w:t>
      </w:r>
      <w:r w:rsidR="00A966B3" w:rsidRPr="001B21F0">
        <w:rPr>
          <w:rFonts w:ascii="Book Antiqua" w:hAnsi="Book Antiqua" w:cs="Times New Roman"/>
          <w:lang w:val="en-US"/>
        </w:rPr>
        <w:t xml:space="preserve"> (2017)</w:t>
      </w:r>
      <w:r w:rsidRPr="001B21F0">
        <w:rPr>
          <w:rFonts w:ascii="Book Antiqua" w:hAnsi="Book Antiqua" w:cs="Times New Roman"/>
          <w:lang w:val="en-US"/>
        </w:rPr>
        <w:t>.</w:t>
      </w:r>
      <w:r w:rsidR="00A966B3" w:rsidRPr="001B21F0">
        <w:rPr>
          <w:rFonts w:ascii="Book Antiqua" w:hAnsi="Book Antiqua" w:cs="Times New Roman"/>
          <w:lang w:val="en-US"/>
        </w:rPr>
        <w:t xml:space="preserve"> Adults’ retractions of childhood sexual abuse allegations: </w:t>
      </w:r>
      <w:r w:rsidR="0050777B" w:rsidRPr="001B21F0">
        <w:rPr>
          <w:rFonts w:ascii="Book Antiqua" w:hAnsi="Book Antiqua" w:cs="Times New Roman"/>
          <w:lang w:val="en-US"/>
        </w:rPr>
        <w:t>H</w:t>
      </w:r>
      <w:r w:rsidR="00A966B3" w:rsidRPr="001B21F0">
        <w:rPr>
          <w:rFonts w:ascii="Book Antiqua" w:hAnsi="Book Antiqua" w:cs="Times New Roman"/>
          <w:lang w:val="en-US"/>
        </w:rPr>
        <w:t>igh-stakes and the (in)</w:t>
      </w:r>
      <w:r w:rsidR="006C5D74" w:rsidRPr="001B21F0">
        <w:rPr>
          <w:rFonts w:ascii="Book Antiqua" w:hAnsi="Book Antiqua" w:cs="Times New Roman"/>
          <w:lang w:val="en-US"/>
        </w:rPr>
        <w:t xml:space="preserve"> </w:t>
      </w:r>
      <w:r w:rsidR="00A966B3" w:rsidRPr="001B21F0">
        <w:rPr>
          <w:rFonts w:ascii="Book Antiqua" w:hAnsi="Book Antiqua" w:cs="Times New Roman"/>
          <w:lang w:val="en-US"/>
        </w:rPr>
        <w:t xml:space="preserve">validation of recollection, Memory, </w:t>
      </w:r>
      <w:r w:rsidR="00A966B3" w:rsidRPr="001B21F0">
        <w:rPr>
          <w:rFonts w:ascii="Book Antiqua" w:hAnsi="Book Antiqua" w:cs="Times New Roman"/>
          <w:i/>
          <w:lang w:val="en-US"/>
        </w:rPr>
        <w:t>25</w:t>
      </w:r>
      <w:r w:rsidR="00A966B3" w:rsidRPr="001B21F0">
        <w:rPr>
          <w:rFonts w:ascii="Book Antiqua" w:hAnsi="Book Antiqua" w:cs="Times New Roman"/>
          <w:lang w:val="en-US"/>
        </w:rPr>
        <w:t xml:space="preserve">, </w:t>
      </w:r>
      <w:r w:rsidR="00A966B3" w:rsidRPr="001B21F0">
        <w:rPr>
          <w:rFonts w:ascii="Book Antiqua" w:hAnsi="Book Antiqua" w:cs="Times New Roman"/>
          <w:lang w:val="en-US"/>
        </w:rPr>
        <w:t>900-909. doi.org/ 10.1080/09658211.2016.1187757</w:t>
      </w:r>
    </w:p>
    <w:p w14:paraId="4B3473FB" w14:textId="060CA05D" w:rsidR="008F7E28" w:rsidRPr="001B21F0" w:rsidRDefault="008F7E28"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O’Brien, B., &amp; Sher, L. (2013). Child sexual abuse and the pathophysiology of suicide in adolescents and adults. </w:t>
      </w:r>
      <w:r w:rsidRPr="001B21F0">
        <w:rPr>
          <w:rFonts w:ascii="Book Antiqua" w:hAnsi="Book Antiqua" w:cs="Times New Roman"/>
          <w:i/>
          <w:noProof/>
          <w:lang w:val="en-US"/>
        </w:rPr>
        <w:t>International Journal of Adolescent Medicine and Health, 25</w:t>
      </w:r>
      <w:r w:rsidRPr="001B21F0">
        <w:rPr>
          <w:rFonts w:ascii="Book Antiqua" w:hAnsi="Book Antiqua" w:cs="Times New Roman"/>
          <w:noProof/>
          <w:lang w:val="en-US"/>
        </w:rPr>
        <w:t>, 201-205.</w:t>
      </w:r>
    </w:p>
    <w:p w14:paraId="245BE593" w14:textId="77777777"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Otgaar, H., Howe, M. L., Memon, A., &amp; Wang, J. (2014). The development of differential mnemonic effects of false denials and forced confabulations. </w:t>
      </w:r>
      <w:r w:rsidRPr="001B21F0">
        <w:rPr>
          <w:rFonts w:ascii="Book Antiqua" w:hAnsi="Book Antiqua" w:cs="Times New Roman"/>
          <w:i/>
          <w:iCs/>
          <w:noProof/>
          <w:lang w:val="en-US"/>
        </w:rPr>
        <w:t>Behavioral Sciences &amp; the Law</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32</w:t>
      </w:r>
      <w:r w:rsidRPr="001B21F0">
        <w:rPr>
          <w:rFonts w:ascii="Book Antiqua" w:hAnsi="Book Antiqua" w:cs="Times New Roman"/>
          <w:noProof/>
          <w:lang w:val="en-US"/>
        </w:rPr>
        <w:t xml:space="preserve">, 718–31. </w:t>
      </w:r>
      <w:r w:rsidR="0073683B" w:rsidRPr="001B21F0">
        <w:rPr>
          <w:rFonts w:ascii="Book Antiqua" w:hAnsi="Book Antiqua" w:cs="Times New Roman"/>
          <w:noProof/>
          <w:lang w:val="en-US"/>
        </w:rPr>
        <w:t>doi.org/</w:t>
      </w:r>
      <w:r w:rsidRPr="001B21F0">
        <w:rPr>
          <w:rFonts w:ascii="Book Antiqua" w:hAnsi="Book Antiqua" w:cs="Times New Roman"/>
          <w:noProof/>
          <w:lang w:val="en-US"/>
        </w:rPr>
        <w:t>10.1002/bsl.2148</w:t>
      </w:r>
    </w:p>
    <w:p w14:paraId="7482F94A" w14:textId="1CE32A9C"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Otgaar, H., Howe, M. L., Smeets, T., &amp; Wang, J. (2016). Denial-Induced Forgetting: False denials undermine memory but external denials undermine belief. </w:t>
      </w:r>
      <w:r w:rsidRPr="001B21F0">
        <w:rPr>
          <w:rFonts w:ascii="Book Antiqua" w:hAnsi="Book Antiqua" w:cs="Times New Roman"/>
          <w:i/>
          <w:iCs/>
          <w:noProof/>
          <w:lang w:val="en-US"/>
        </w:rPr>
        <w:t>Journal of Applied Research in Memory and Cognition</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5</w:t>
      </w:r>
      <w:r w:rsidRPr="001B21F0">
        <w:rPr>
          <w:rFonts w:ascii="Book Antiqua" w:hAnsi="Book Antiqua" w:cs="Times New Roman"/>
          <w:noProof/>
          <w:lang w:val="en-US"/>
        </w:rPr>
        <w:t>, 168–175.</w:t>
      </w:r>
      <w:r w:rsidR="00F83FCF" w:rsidRPr="001B21F0">
        <w:rPr>
          <w:rFonts w:ascii="Book Antiqua" w:hAnsi="Book Antiqua" w:cs="Times New Roman"/>
          <w:noProof/>
          <w:lang w:val="en-US"/>
        </w:rPr>
        <w:t xml:space="preserve"> </w:t>
      </w:r>
      <w:r w:rsidR="0073683B" w:rsidRPr="001B21F0">
        <w:rPr>
          <w:rFonts w:ascii="Book Antiqua" w:hAnsi="Book Antiqua" w:cs="Times New Roman"/>
          <w:noProof/>
          <w:lang w:val="en-US"/>
        </w:rPr>
        <w:t>doi.org/</w:t>
      </w:r>
      <w:r w:rsidRPr="001B21F0">
        <w:rPr>
          <w:rFonts w:ascii="Book Antiqua" w:hAnsi="Book Antiqua" w:cs="Times New Roman"/>
          <w:noProof/>
          <w:lang w:val="en-US"/>
        </w:rPr>
        <w:t>10.1016/j.jarmac.2016.04.002</w:t>
      </w:r>
    </w:p>
    <w:p w14:paraId="753A25A0" w14:textId="23127446" w:rsidR="00E819EC" w:rsidRPr="001B21F0" w:rsidRDefault="00E819E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Otgaar, H., Romeo, T., Ramakers, N., &amp; Howe, M. (2017). Forgetting having denied: The "amnesic" consequences of denial. </w:t>
      </w:r>
      <w:r w:rsidRPr="001B21F0">
        <w:rPr>
          <w:rFonts w:ascii="Book Antiqua" w:hAnsi="Book Antiqua" w:cs="Times New Roman"/>
          <w:i/>
          <w:noProof/>
          <w:lang w:val="en-US"/>
        </w:rPr>
        <w:t>Memory &amp; Cognition</w:t>
      </w:r>
      <w:r w:rsidR="00F40FE5" w:rsidRPr="001B21F0">
        <w:rPr>
          <w:rFonts w:ascii="Book Antiqua" w:hAnsi="Book Antiqua" w:cs="Times New Roman"/>
          <w:i/>
          <w:noProof/>
          <w:lang w:val="en-US"/>
        </w:rPr>
        <w:t>.</w:t>
      </w:r>
      <w:r w:rsidRPr="001B21F0">
        <w:rPr>
          <w:rFonts w:ascii="Book Antiqua" w:hAnsi="Book Antiqua" w:cs="Times New Roman"/>
          <w:noProof/>
          <w:lang w:val="en-US"/>
        </w:rPr>
        <w:t xml:space="preserve"> </w:t>
      </w:r>
      <w:r w:rsidRPr="001B21F0">
        <w:rPr>
          <w:rFonts w:ascii="Book Antiqua" w:hAnsi="Book Antiqua" w:cs="Times New Roman"/>
          <w:color w:val="333333"/>
          <w:spacing w:val="4"/>
          <w:shd w:val="clear" w:color="auto" w:fill="FCFCFC"/>
          <w:lang w:val="en-US"/>
        </w:rPr>
        <w:t>doi.org/10.3758/s13421-017-0781-5</w:t>
      </w:r>
    </w:p>
    <w:p w14:paraId="75DFE809" w14:textId="77777777"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Paine, M. L., &amp; Hansen, D. J. (2002). Factors influencing children to self-disclose sexual abuse. </w:t>
      </w:r>
      <w:r w:rsidRPr="001B21F0">
        <w:rPr>
          <w:rFonts w:ascii="Book Antiqua" w:hAnsi="Book Antiqua" w:cs="Times New Roman"/>
          <w:i/>
          <w:iCs/>
          <w:noProof/>
          <w:lang w:val="en-US"/>
        </w:rPr>
        <w:t>Clinical Psychology Review</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22</w:t>
      </w:r>
      <w:r w:rsidRPr="001B21F0">
        <w:rPr>
          <w:rFonts w:ascii="Book Antiqua" w:hAnsi="Book Antiqua" w:cs="Times New Roman"/>
          <w:noProof/>
          <w:lang w:val="en-US"/>
        </w:rPr>
        <w:t xml:space="preserve">, 271–295. </w:t>
      </w:r>
      <w:r w:rsidR="0073683B" w:rsidRPr="001B21F0">
        <w:rPr>
          <w:rFonts w:ascii="Book Antiqua" w:hAnsi="Book Antiqua" w:cs="Times New Roman"/>
          <w:noProof/>
          <w:lang w:val="en-US"/>
        </w:rPr>
        <w:t>doi.org/</w:t>
      </w:r>
      <w:r w:rsidRPr="001B21F0">
        <w:rPr>
          <w:rFonts w:ascii="Book Antiqua" w:hAnsi="Book Antiqua" w:cs="Times New Roman"/>
          <w:noProof/>
          <w:lang w:val="en-US"/>
        </w:rPr>
        <w:t>10.1016/S0272-7358(01)00091-5</w:t>
      </w:r>
    </w:p>
    <w:p w14:paraId="0875205C" w14:textId="77777777" w:rsidR="0074683F" w:rsidRPr="001B21F0" w:rsidRDefault="0074683F"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Parga, C. C. (2008). Legal and scientific issues surrounding victim recantation in child sexual abuse cases. </w:t>
      </w:r>
      <w:r w:rsidRPr="001B21F0">
        <w:rPr>
          <w:rFonts w:ascii="Book Antiqua" w:hAnsi="Book Antiqua" w:cs="Times New Roman"/>
          <w:i/>
          <w:noProof/>
          <w:lang w:val="en-US"/>
        </w:rPr>
        <w:t>Georgia State University Law Review, 24</w:t>
      </w:r>
      <w:r w:rsidRPr="001B21F0">
        <w:rPr>
          <w:rFonts w:ascii="Book Antiqua" w:hAnsi="Book Antiqua" w:cs="Times New Roman"/>
          <w:noProof/>
          <w:lang w:val="en-US"/>
        </w:rPr>
        <w:t>, 779-812.</w:t>
      </w:r>
    </w:p>
    <w:p w14:paraId="106720CC" w14:textId="77777777" w:rsidR="0074683F" w:rsidRPr="001B21F0" w:rsidRDefault="0074683F"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Peterson, C., &amp; Whalen, N. (2001). Five years later: Children’s memory for medical emergencies. </w:t>
      </w:r>
      <w:r w:rsidRPr="001B21F0">
        <w:rPr>
          <w:rFonts w:ascii="Book Antiqua" w:hAnsi="Book Antiqua" w:cs="Times New Roman"/>
          <w:i/>
          <w:iCs/>
          <w:noProof/>
          <w:lang w:val="en-US"/>
        </w:rPr>
        <w:t>Applied Cognitive Psychology</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15</w:t>
      </w:r>
      <w:r w:rsidRPr="001B21F0">
        <w:rPr>
          <w:rFonts w:ascii="Book Antiqua" w:hAnsi="Book Antiqua" w:cs="Times New Roman"/>
          <w:noProof/>
          <w:lang w:val="en-US"/>
        </w:rPr>
        <w:t>, S7–S24. doi.org/10.1002/acp.832</w:t>
      </w:r>
    </w:p>
    <w:p w14:paraId="43DA7781" w14:textId="09BFA4CA" w:rsidR="00F266C3" w:rsidRPr="001B21F0" w:rsidRDefault="00F266C3" w:rsidP="001B21F0">
      <w:pPr>
        <w:widowControl w:val="0"/>
        <w:autoSpaceDE w:val="0"/>
        <w:autoSpaceDN w:val="0"/>
        <w:adjustRightInd w:val="0"/>
        <w:spacing w:line="240" w:lineRule="auto"/>
        <w:ind w:left="480" w:hanging="480"/>
        <w:jc w:val="both"/>
        <w:rPr>
          <w:rFonts w:ascii="Book Antiqua" w:hAnsi="Book Antiqua" w:cs="Times New Roman"/>
          <w:noProof/>
          <w:szCs w:val="24"/>
          <w:lang w:val="en-US"/>
        </w:rPr>
      </w:pPr>
      <w:r w:rsidRPr="001B21F0">
        <w:rPr>
          <w:rFonts w:ascii="Book Antiqua" w:hAnsi="Book Antiqua" w:cs="Times New Roman"/>
          <w:noProof/>
          <w:szCs w:val="24"/>
          <w:lang w:val="en-US"/>
        </w:rPr>
        <w:t xml:space="preserve">Pipe, M. E., Lamb, M. E., Orbach, Y., Sternberg, K. J., Steward, H., &amp; Esplin, P. W. (2007). Factors associated with non-disclosure of suspected abuse during forensic interviews. In M. E. Pipe, M. E. Lamb, Y. Orbach, &amp; A. C. Cederborg (Eds.), </w:t>
      </w:r>
      <w:r w:rsidRPr="001B21F0">
        <w:rPr>
          <w:rFonts w:ascii="Book Antiqua" w:hAnsi="Book Antiqua" w:cs="Times New Roman"/>
          <w:i/>
          <w:noProof/>
          <w:szCs w:val="24"/>
          <w:lang w:val="en-US"/>
        </w:rPr>
        <w:t xml:space="preserve">Child sexual abuse: Disclosure, delay, denial </w:t>
      </w:r>
      <w:r w:rsidRPr="001B21F0">
        <w:rPr>
          <w:rFonts w:ascii="Book Antiqua" w:hAnsi="Book Antiqua" w:cs="Times New Roman"/>
          <w:noProof/>
          <w:szCs w:val="24"/>
          <w:lang w:val="en-US"/>
        </w:rPr>
        <w:t xml:space="preserve">(p. 77-96). Mahwah, NJ: Lawrence Erlbaum Associates Inc. </w:t>
      </w:r>
    </w:p>
    <w:p w14:paraId="60B1E7DC" w14:textId="2B5FEDF9" w:rsidR="00DC289E" w:rsidRPr="001B21F0" w:rsidRDefault="00DC289E"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Putnam, F. (2003). Ten-</w:t>
      </w:r>
      <w:r w:rsidR="00014702" w:rsidRPr="001B21F0">
        <w:rPr>
          <w:rFonts w:ascii="Book Antiqua" w:hAnsi="Book Antiqua" w:cs="Times New Roman"/>
          <w:noProof/>
          <w:lang w:val="en-US"/>
        </w:rPr>
        <w:t>y</w:t>
      </w:r>
      <w:r w:rsidRPr="001B21F0">
        <w:rPr>
          <w:rFonts w:ascii="Book Antiqua" w:hAnsi="Book Antiqua" w:cs="Times New Roman"/>
          <w:noProof/>
          <w:lang w:val="en-US"/>
        </w:rPr>
        <w:t xml:space="preserve">ear </w:t>
      </w:r>
      <w:r w:rsidR="00014702" w:rsidRPr="001B21F0">
        <w:rPr>
          <w:rFonts w:ascii="Book Antiqua" w:hAnsi="Book Antiqua" w:cs="Times New Roman"/>
          <w:noProof/>
          <w:lang w:val="en-US"/>
        </w:rPr>
        <w:t>r</w:t>
      </w:r>
      <w:r w:rsidRPr="001B21F0">
        <w:rPr>
          <w:rFonts w:ascii="Book Antiqua" w:hAnsi="Book Antiqua" w:cs="Times New Roman"/>
          <w:noProof/>
          <w:lang w:val="en-US"/>
        </w:rPr>
        <w:t xml:space="preserve">esearch </w:t>
      </w:r>
      <w:r w:rsidR="00014702" w:rsidRPr="001B21F0">
        <w:rPr>
          <w:rFonts w:ascii="Book Antiqua" w:hAnsi="Book Antiqua" w:cs="Times New Roman"/>
          <w:noProof/>
          <w:lang w:val="en-US"/>
        </w:rPr>
        <w:t>u</w:t>
      </w:r>
      <w:r w:rsidRPr="001B21F0">
        <w:rPr>
          <w:rFonts w:ascii="Book Antiqua" w:hAnsi="Book Antiqua" w:cs="Times New Roman"/>
          <w:noProof/>
          <w:lang w:val="en-US"/>
        </w:rPr>
        <w:t xml:space="preserve">pdate </w:t>
      </w:r>
      <w:r w:rsidR="00014702" w:rsidRPr="001B21F0">
        <w:rPr>
          <w:rFonts w:ascii="Book Antiqua" w:hAnsi="Book Antiqua" w:cs="Times New Roman"/>
          <w:noProof/>
          <w:lang w:val="en-US"/>
        </w:rPr>
        <w:t>r</w:t>
      </w:r>
      <w:r w:rsidRPr="001B21F0">
        <w:rPr>
          <w:rFonts w:ascii="Book Antiqua" w:hAnsi="Book Antiqua" w:cs="Times New Roman"/>
          <w:noProof/>
          <w:lang w:val="en-US"/>
        </w:rPr>
        <w:t xml:space="preserve">eview: Child </w:t>
      </w:r>
      <w:r w:rsidR="00014702" w:rsidRPr="001B21F0">
        <w:rPr>
          <w:rFonts w:ascii="Book Antiqua" w:hAnsi="Book Antiqua" w:cs="Times New Roman"/>
          <w:noProof/>
          <w:lang w:val="en-US"/>
        </w:rPr>
        <w:t>s</w:t>
      </w:r>
      <w:r w:rsidRPr="001B21F0">
        <w:rPr>
          <w:rFonts w:ascii="Book Antiqua" w:hAnsi="Book Antiqua" w:cs="Times New Roman"/>
          <w:noProof/>
          <w:lang w:val="en-US"/>
        </w:rPr>
        <w:t xml:space="preserve">exual </w:t>
      </w:r>
      <w:r w:rsidR="00014702" w:rsidRPr="001B21F0">
        <w:rPr>
          <w:rFonts w:ascii="Book Antiqua" w:hAnsi="Book Antiqua" w:cs="Times New Roman"/>
          <w:noProof/>
          <w:lang w:val="en-US"/>
        </w:rPr>
        <w:t>a</w:t>
      </w:r>
      <w:r w:rsidRPr="001B21F0">
        <w:rPr>
          <w:rFonts w:ascii="Book Antiqua" w:hAnsi="Book Antiqua" w:cs="Times New Roman"/>
          <w:noProof/>
          <w:lang w:val="en-US"/>
        </w:rPr>
        <w:t>buse. J</w:t>
      </w:r>
      <w:r w:rsidRPr="001B21F0">
        <w:rPr>
          <w:rFonts w:ascii="Book Antiqua" w:hAnsi="Book Antiqua" w:cs="Times New Roman"/>
          <w:i/>
          <w:noProof/>
          <w:lang w:val="en-US"/>
        </w:rPr>
        <w:t>ournal of the American Academy of Child &amp; Adolescent Psychiatry, 42</w:t>
      </w:r>
      <w:r w:rsidRPr="001B21F0">
        <w:rPr>
          <w:rFonts w:ascii="Book Antiqua" w:hAnsi="Book Antiqua" w:cs="Times New Roman"/>
          <w:noProof/>
          <w:lang w:val="en-US"/>
        </w:rPr>
        <w:t>, 269-278.</w:t>
      </w:r>
    </w:p>
    <w:p w14:paraId="7684A8C2" w14:textId="77777777" w:rsidR="002F4FE7" w:rsidRPr="001B21F0" w:rsidRDefault="002F4FE7" w:rsidP="00DB47B6">
      <w:pPr>
        <w:widowControl w:val="0"/>
        <w:autoSpaceDE w:val="0"/>
        <w:autoSpaceDN w:val="0"/>
        <w:adjustRightInd w:val="0"/>
        <w:spacing w:after="0" w:line="240" w:lineRule="auto"/>
        <w:ind w:left="284" w:hanging="284"/>
        <w:jc w:val="both"/>
        <w:rPr>
          <w:rFonts w:ascii="Book Antiqua" w:hAnsi="Book Antiqua" w:cs="Times New Roman"/>
          <w:shd w:val="clear" w:color="auto" w:fill="FFFFFF"/>
          <w:lang w:val="en-US"/>
        </w:rPr>
      </w:pPr>
      <w:r w:rsidRPr="001B21F0">
        <w:rPr>
          <w:rFonts w:ascii="Book Antiqua" w:hAnsi="Book Antiqua" w:cs="Times New Roman"/>
          <w:shd w:val="clear" w:color="auto" w:fill="FFFFFF"/>
          <w:lang w:val="en-US"/>
        </w:rPr>
        <w:t>Schaeffer, P., Leventhal, J. M., &amp; Asnes, A. G. (2011). Children's disclosures of sexual abuse: Learning from direct inquiry. </w:t>
      </w:r>
      <w:r w:rsidRPr="001B21F0">
        <w:rPr>
          <w:rFonts w:ascii="Book Antiqua" w:hAnsi="Book Antiqua" w:cs="Times New Roman"/>
          <w:i/>
          <w:iCs/>
          <w:shd w:val="clear" w:color="auto" w:fill="FFFFFF"/>
          <w:lang w:val="en-US"/>
        </w:rPr>
        <w:t>Child Abuse and Neglect,</w:t>
      </w:r>
      <w:r w:rsidRPr="001B21F0">
        <w:rPr>
          <w:rFonts w:ascii="Book Antiqua" w:hAnsi="Book Antiqua" w:cs="Times New Roman"/>
          <w:shd w:val="clear" w:color="auto" w:fill="FFFFFF"/>
          <w:lang w:val="en-US"/>
        </w:rPr>
        <w:t> </w:t>
      </w:r>
      <w:r w:rsidRPr="001B21F0">
        <w:rPr>
          <w:rFonts w:ascii="Book Antiqua" w:hAnsi="Book Antiqua" w:cs="Times New Roman"/>
          <w:i/>
          <w:iCs/>
          <w:shd w:val="clear" w:color="auto" w:fill="FFFFFF"/>
          <w:lang w:val="en-US"/>
        </w:rPr>
        <w:t>35</w:t>
      </w:r>
      <w:r w:rsidRPr="001B21F0">
        <w:rPr>
          <w:rFonts w:ascii="Book Antiqua" w:hAnsi="Book Antiqua" w:cs="Times New Roman"/>
          <w:shd w:val="clear" w:color="auto" w:fill="FFFFFF"/>
          <w:lang w:val="en-US"/>
        </w:rPr>
        <w:t>, 343.</w:t>
      </w:r>
    </w:p>
    <w:p w14:paraId="2EE9BE7B" w14:textId="7672362C" w:rsidR="008F7E28" w:rsidRPr="001B21F0" w:rsidRDefault="008F7E28"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Shapiro, D., Kaplow, J., Amaya</w:t>
      </w:r>
      <w:r w:rsidR="00014702" w:rsidRPr="001B21F0">
        <w:rPr>
          <w:rFonts w:ascii="Times New Roman" w:hAnsi="Times New Roman" w:cs="Times New Roman"/>
          <w:noProof/>
          <w:lang w:val="en-US"/>
        </w:rPr>
        <w:t>-</w:t>
      </w:r>
      <w:r w:rsidRPr="001B21F0">
        <w:rPr>
          <w:rFonts w:ascii="Book Antiqua" w:hAnsi="Book Antiqua" w:cs="Times New Roman"/>
          <w:noProof/>
          <w:lang w:val="en-US"/>
        </w:rPr>
        <w:t xml:space="preserve">Jackson, L., &amp; </w:t>
      </w:r>
      <w:r w:rsidRPr="001B21F0">
        <w:rPr>
          <w:rFonts w:ascii="Book Antiqua" w:hAnsi="Book Antiqua" w:cs="Times New Roman"/>
          <w:noProof/>
          <w:lang w:val="en-US"/>
        </w:rPr>
        <w:lastRenderedPageBreak/>
        <w:t>Dodge, K. (2012). Behavioral markers of coping and psychiatric symptoms among sexually abused children. J</w:t>
      </w:r>
      <w:r w:rsidRPr="001B21F0">
        <w:rPr>
          <w:rFonts w:ascii="Book Antiqua" w:hAnsi="Book Antiqua" w:cs="Times New Roman"/>
          <w:i/>
          <w:noProof/>
          <w:lang w:val="en-US"/>
        </w:rPr>
        <w:t>ournal of Traumatic Stress, 25</w:t>
      </w:r>
      <w:r w:rsidRPr="001B21F0">
        <w:rPr>
          <w:rFonts w:ascii="Book Antiqua" w:hAnsi="Book Antiqua" w:cs="Times New Roman"/>
          <w:noProof/>
          <w:lang w:val="en-US"/>
        </w:rPr>
        <w:t>, 157-163.</w:t>
      </w:r>
    </w:p>
    <w:p w14:paraId="5A4B143C" w14:textId="0D0A157F"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Sjöberg, R., &amp; Lindblad, F. (200</w:t>
      </w:r>
      <w:r w:rsidR="002F4FE7" w:rsidRPr="001B21F0">
        <w:rPr>
          <w:rFonts w:ascii="Book Antiqua" w:hAnsi="Book Antiqua" w:cs="Times New Roman"/>
          <w:noProof/>
          <w:lang w:val="en-US"/>
        </w:rPr>
        <w:t>2</w:t>
      </w:r>
      <w:r w:rsidRPr="001B21F0">
        <w:rPr>
          <w:rFonts w:ascii="Book Antiqua" w:hAnsi="Book Antiqua" w:cs="Times New Roman"/>
          <w:noProof/>
          <w:lang w:val="en-US"/>
        </w:rPr>
        <w:t xml:space="preserve">). Delayed disclosure and disrupted communication during forensic investigation of child sexual abuse: </w:t>
      </w:r>
      <w:r w:rsidR="00E43422" w:rsidRPr="001B21F0">
        <w:rPr>
          <w:rFonts w:ascii="Book Antiqua" w:hAnsi="Book Antiqua" w:cs="Times New Roman"/>
          <w:noProof/>
          <w:lang w:val="en-US"/>
        </w:rPr>
        <w:t>A</w:t>
      </w:r>
      <w:r w:rsidRPr="001B21F0">
        <w:rPr>
          <w:rFonts w:ascii="Book Antiqua" w:hAnsi="Book Antiqua" w:cs="Times New Roman"/>
          <w:noProof/>
          <w:lang w:val="en-US"/>
        </w:rPr>
        <w:t xml:space="preserve"> study of 47 corroborated cases. </w:t>
      </w:r>
      <w:r w:rsidRPr="001B21F0">
        <w:rPr>
          <w:rFonts w:ascii="Book Antiqua" w:hAnsi="Book Antiqua" w:cs="Times New Roman"/>
          <w:i/>
          <w:iCs/>
          <w:noProof/>
          <w:lang w:val="en-US"/>
        </w:rPr>
        <w:t>Acta Paediatrica</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91</w:t>
      </w:r>
      <w:r w:rsidRPr="001B21F0">
        <w:rPr>
          <w:rFonts w:ascii="Book Antiqua" w:hAnsi="Book Antiqua" w:cs="Times New Roman"/>
          <w:noProof/>
          <w:lang w:val="en-US"/>
        </w:rPr>
        <w:t xml:space="preserve">, 1391–1396. </w:t>
      </w:r>
      <w:r w:rsidR="0073683B" w:rsidRPr="001B21F0">
        <w:rPr>
          <w:rFonts w:ascii="Book Antiqua" w:hAnsi="Book Antiqua" w:cs="Times New Roman"/>
          <w:noProof/>
          <w:lang w:val="en-US"/>
        </w:rPr>
        <w:t>doi.org/</w:t>
      </w:r>
      <w:r w:rsidRPr="001B21F0">
        <w:rPr>
          <w:rFonts w:ascii="Book Antiqua" w:hAnsi="Book Antiqua" w:cs="Times New Roman"/>
          <w:noProof/>
          <w:lang w:val="en-US"/>
        </w:rPr>
        <w:t>10.1111/j.1651-2227.2002.tb02839.x</w:t>
      </w:r>
    </w:p>
    <w:p w14:paraId="0D542D9F" w14:textId="77777777"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Somer, E., &amp; Szwarcberg, S. (2001). Variables in delayed disclosure of childhood sexual abuse. </w:t>
      </w:r>
      <w:r w:rsidRPr="001B21F0">
        <w:rPr>
          <w:rFonts w:ascii="Book Antiqua" w:hAnsi="Book Antiqua" w:cs="Times New Roman"/>
          <w:i/>
          <w:iCs/>
          <w:noProof/>
          <w:lang w:val="en-US"/>
        </w:rPr>
        <w:t>The American Journal of Orthopsychiatry</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71</w:t>
      </w:r>
      <w:r w:rsidRPr="001B21F0">
        <w:rPr>
          <w:rFonts w:ascii="Book Antiqua" w:hAnsi="Book Antiqua" w:cs="Times New Roman"/>
          <w:noProof/>
          <w:lang w:val="en-US"/>
        </w:rPr>
        <w:t xml:space="preserve">, 332–41. </w:t>
      </w:r>
      <w:r w:rsidR="0073683B" w:rsidRPr="001B21F0">
        <w:rPr>
          <w:rFonts w:ascii="Book Antiqua" w:hAnsi="Book Antiqua" w:cs="Times New Roman"/>
          <w:noProof/>
          <w:lang w:val="en-US"/>
        </w:rPr>
        <w:t>doi.org/</w:t>
      </w:r>
      <w:r w:rsidRPr="001B21F0">
        <w:rPr>
          <w:rFonts w:ascii="Book Antiqua" w:hAnsi="Book Antiqua" w:cs="Times New Roman"/>
          <w:noProof/>
          <w:lang w:val="en-US"/>
        </w:rPr>
        <w:t>10.1037/0002-9432.71.3.332</w:t>
      </w:r>
    </w:p>
    <w:p w14:paraId="7166EED9" w14:textId="224E5257"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Sorensen, T., &amp; Snow, B. (1991). How children tell: </w:t>
      </w:r>
      <w:r w:rsidR="00E43422" w:rsidRPr="001B21F0">
        <w:rPr>
          <w:rFonts w:ascii="Book Antiqua" w:hAnsi="Book Antiqua" w:cs="Times New Roman"/>
          <w:noProof/>
          <w:lang w:val="en-US"/>
        </w:rPr>
        <w:t>T</w:t>
      </w:r>
      <w:r w:rsidRPr="001B21F0">
        <w:rPr>
          <w:rFonts w:ascii="Book Antiqua" w:hAnsi="Book Antiqua" w:cs="Times New Roman"/>
          <w:noProof/>
          <w:lang w:val="en-US"/>
        </w:rPr>
        <w:t xml:space="preserve">he process of disclosure in child sexual abuse. </w:t>
      </w:r>
      <w:r w:rsidRPr="001B21F0">
        <w:rPr>
          <w:rFonts w:ascii="Book Antiqua" w:hAnsi="Book Antiqua" w:cs="Times New Roman"/>
          <w:i/>
          <w:iCs/>
          <w:noProof/>
          <w:lang w:val="en-US"/>
        </w:rPr>
        <w:t>Child Welfare</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70</w:t>
      </w:r>
      <w:r w:rsidRPr="001B21F0">
        <w:rPr>
          <w:rFonts w:ascii="Book Antiqua" w:hAnsi="Book Antiqua" w:cs="Times New Roman"/>
          <w:noProof/>
          <w:lang w:val="en-US"/>
        </w:rPr>
        <w:t>, 3–15.</w:t>
      </w:r>
    </w:p>
    <w:p w14:paraId="14E5DC9E" w14:textId="1EE1C470" w:rsidR="00D4694C" w:rsidRPr="001B21F0" w:rsidRDefault="003F2579"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szCs w:val="24"/>
          <w:lang w:val="en-US"/>
        </w:rPr>
        <w:t xml:space="preserve">Sorsoli, L., Kia-Keating, M., &amp; Grossman, F. K. (2008). “I keep that hush-hush”: Male survivors of sexual abuse and the challenges of disclosure. </w:t>
      </w:r>
      <w:r w:rsidRPr="001B21F0">
        <w:rPr>
          <w:rFonts w:ascii="Book Antiqua" w:hAnsi="Book Antiqua" w:cs="Times New Roman"/>
          <w:i/>
          <w:iCs/>
          <w:noProof/>
          <w:szCs w:val="24"/>
          <w:lang w:val="en-US"/>
        </w:rPr>
        <w:t>Journal of Counseling Psychology</w:t>
      </w:r>
      <w:r w:rsidRPr="001B21F0">
        <w:rPr>
          <w:rFonts w:ascii="Book Antiqua" w:hAnsi="Book Antiqua" w:cs="Times New Roman"/>
          <w:noProof/>
          <w:szCs w:val="24"/>
          <w:lang w:val="en-US"/>
        </w:rPr>
        <w:t xml:space="preserve">, </w:t>
      </w:r>
      <w:r w:rsidRPr="001B21F0">
        <w:rPr>
          <w:rFonts w:ascii="Book Antiqua" w:hAnsi="Book Antiqua" w:cs="Times New Roman"/>
          <w:i/>
          <w:iCs/>
          <w:noProof/>
          <w:szCs w:val="24"/>
          <w:lang w:val="en-US"/>
        </w:rPr>
        <w:t>55</w:t>
      </w:r>
      <w:r w:rsidRPr="001B21F0">
        <w:rPr>
          <w:rFonts w:ascii="Book Antiqua" w:hAnsi="Book Antiqua" w:cs="Times New Roman"/>
          <w:noProof/>
          <w:szCs w:val="24"/>
          <w:lang w:val="en-US"/>
        </w:rPr>
        <w:t>, 333–345. doi.org/10.1037/0022-0167.55.3.333</w:t>
      </w:r>
      <w:r w:rsidR="00D4694C" w:rsidRPr="001B21F0">
        <w:rPr>
          <w:rFonts w:ascii="Book Antiqua" w:hAnsi="Book Antiqua" w:cs="Times New Roman"/>
          <w:noProof/>
          <w:lang w:val="en-US"/>
        </w:rPr>
        <w:t xml:space="preserve">Sorsoli, L. (2010). “I remember”, “I thought”, “I know I didn’t say”: Silence and memory in trauma narratives. </w:t>
      </w:r>
      <w:r w:rsidR="00D4694C" w:rsidRPr="001B21F0">
        <w:rPr>
          <w:rFonts w:ascii="Book Antiqua" w:hAnsi="Book Antiqua" w:cs="Times New Roman"/>
          <w:i/>
          <w:iCs/>
          <w:noProof/>
          <w:lang w:val="en-US"/>
        </w:rPr>
        <w:t>Memory</w:t>
      </w:r>
      <w:r w:rsidR="00D4694C" w:rsidRPr="001B21F0">
        <w:rPr>
          <w:rFonts w:ascii="Book Antiqua" w:hAnsi="Book Antiqua" w:cs="Times New Roman"/>
          <w:noProof/>
          <w:lang w:val="en-US"/>
        </w:rPr>
        <w:t xml:space="preserve">, </w:t>
      </w:r>
      <w:r w:rsidR="00D4694C" w:rsidRPr="001B21F0">
        <w:rPr>
          <w:rFonts w:ascii="Book Antiqua" w:hAnsi="Book Antiqua" w:cs="Times New Roman"/>
          <w:i/>
          <w:iCs/>
          <w:noProof/>
          <w:lang w:val="en-US"/>
        </w:rPr>
        <w:t>18</w:t>
      </w:r>
      <w:r w:rsidR="00D4694C" w:rsidRPr="001B21F0">
        <w:rPr>
          <w:rFonts w:ascii="Book Antiqua" w:hAnsi="Book Antiqua" w:cs="Times New Roman"/>
          <w:noProof/>
          <w:lang w:val="en-US"/>
        </w:rPr>
        <w:t>, 129–141.</w:t>
      </w:r>
      <w:r w:rsidR="0073683B" w:rsidRPr="001B21F0">
        <w:rPr>
          <w:rFonts w:ascii="Book Antiqua" w:hAnsi="Book Antiqua" w:cs="Times New Roman"/>
          <w:noProof/>
          <w:lang w:val="en-US"/>
        </w:rPr>
        <w:t xml:space="preserve"> doi.org/</w:t>
      </w:r>
      <w:r w:rsidR="00D4694C" w:rsidRPr="001B21F0">
        <w:rPr>
          <w:rFonts w:ascii="Book Antiqua" w:hAnsi="Book Antiqua" w:cs="Times New Roman"/>
          <w:noProof/>
          <w:lang w:val="en-US"/>
        </w:rPr>
        <w:t>10.1080/09658210903168046</w:t>
      </w:r>
    </w:p>
    <w:p w14:paraId="514D4E86" w14:textId="77777777"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Tully, B. (2002). The evaluation of retractions in sexual abuse cases. </w:t>
      </w:r>
      <w:r w:rsidRPr="001B21F0">
        <w:rPr>
          <w:rFonts w:ascii="Book Antiqua" w:hAnsi="Book Antiqua" w:cs="Times New Roman"/>
          <w:i/>
          <w:iCs/>
          <w:noProof/>
          <w:lang w:val="en-US"/>
        </w:rPr>
        <w:t>Child Abuse Review</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11</w:t>
      </w:r>
      <w:r w:rsidRPr="001B21F0">
        <w:rPr>
          <w:rFonts w:ascii="Book Antiqua" w:hAnsi="Book Antiqua" w:cs="Times New Roman"/>
          <w:noProof/>
          <w:lang w:val="en-US"/>
        </w:rPr>
        <w:t xml:space="preserve">(2), 94–102. </w:t>
      </w:r>
      <w:r w:rsidR="0073683B" w:rsidRPr="001B21F0">
        <w:rPr>
          <w:rFonts w:ascii="Book Antiqua" w:hAnsi="Book Antiqua" w:cs="Times New Roman"/>
          <w:noProof/>
          <w:lang w:val="en-US"/>
        </w:rPr>
        <w:t>doi.org/</w:t>
      </w:r>
      <w:r w:rsidRPr="001B21F0">
        <w:rPr>
          <w:rFonts w:ascii="Book Antiqua" w:hAnsi="Book Antiqua" w:cs="Times New Roman"/>
          <w:noProof/>
          <w:lang w:val="en-US"/>
        </w:rPr>
        <w:t>10.1002/car.728</w:t>
      </w:r>
    </w:p>
    <w:p w14:paraId="1DCA3C34" w14:textId="79A64DBF"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Ullman, S. (2002). Social </w:t>
      </w:r>
      <w:r w:rsidR="003F2579" w:rsidRPr="001B21F0">
        <w:rPr>
          <w:rFonts w:ascii="Book Antiqua" w:hAnsi="Book Antiqua" w:cs="Times New Roman"/>
          <w:noProof/>
          <w:lang w:val="en-US"/>
        </w:rPr>
        <w:t>r</w:t>
      </w:r>
      <w:r w:rsidRPr="001B21F0">
        <w:rPr>
          <w:rFonts w:ascii="Book Antiqua" w:hAnsi="Book Antiqua" w:cs="Times New Roman"/>
          <w:noProof/>
          <w:lang w:val="en-US"/>
        </w:rPr>
        <w:t xml:space="preserve">eactions to </w:t>
      </w:r>
      <w:r w:rsidR="003F2579" w:rsidRPr="001B21F0">
        <w:rPr>
          <w:rFonts w:ascii="Book Antiqua" w:hAnsi="Book Antiqua" w:cs="Times New Roman"/>
          <w:noProof/>
          <w:lang w:val="en-US"/>
        </w:rPr>
        <w:t>c</w:t>
      </w:r>
      <w:r w:rsidRPr="001B21F0">
        <w:rPr>
          <w:rFonts w:ascii="Book Antiqua" w:hAnsi="Book Antiqua" w:cs="Times New Roman"/>
          <w:noProof/>
          <w:lang w:val="en-US"/>
        </w:rPr>
        <w:t xml:space="preserve">hild </w:t>
      </w:r>
      <w:r w:rsidR="003F2579" w:rsidRPr="001B21F0">
        <w:rPr>
          <w:rFonts w:ascii="Book Antiqua" w:hAnsi="Book Antiqua" w:cs="Times New Roman"/>
          <w:noProof/>
          <w:lang w:val="en-US"/>
        </w:rPr>
        <w:t>s</w:t>
      </w:r>
      <w:r w:rsidRPr="001B21F0">
        <w:rPr>
          <w:rFonts w:ascii="Book Antiqua" w:hAnsi="Book Antiqua" w:cs="Times New Roman"/>
          <w:noProof/>
          <w:lang w:val="en-US"/>
        </w:rPr>
        <w:t xml:space="preserve">exual </w:t>
      </w:r>
      <w:r w:rsidR="003F2579" w:rsidRPr="001B21F0">
        <w:rPr>
          <w:rFonts w:ascii="Book Antiqua" w:hAnsi="Book Antiqua" w:cs="Times New Roman"/>
          <w:noProof/>
          <w:lang w:val="en-US"/>
        </w:rPr>
        <w:t>a</w:t>
      </w:r>
      <w:r w:rsidRPr="001B21F0">
        <w:rPr>
          <w:rFonts w:ascii="Book Antiqua" w:hAnsi="Book Antiqua" w:cs="Times New Roman"/>
          <w:noProof/>
          <w:lang w:val="en-US"/>
        </w:rPr>
        <w:t xml:space="preserve">buse </w:t>
      </w:r>
      <w:r w:rsidR="003F2579" w:rsidRPr="001B21F0">
        <w:rPr>
          <w:rFonts w:ascii="Book Antiqua" w:hAnsi="Book Antiqua" w:cs="Times New Roman"/>
          <w:noProof/>
          <w:lang w:val="en-US"/>
        </w:rPr>
        <w:t>d</w:t>
      </w:r>
      <w:r w:rsidRPr="001B21F0">
        <w:rPr>
          <w:rFonts w:ascii="Book Antiqua" w:hAnsi="Book Antiqua" w:cs="Times New Roman"/>
          <w:noProof/>
          <w:lang w:val="en-US"/>
        </w:rPr>
        <w:t xml:space="preserve">isclosures: A </w:t>
      </w:r>
      <w:r w:rsidR="003F2579" w:rsidRPr="001B21F0">
        <w:rPr>
          <w:rFonts w:ascii="Book Antiqua" w:hAnsi="Book Antiqua" w:cs="Times New Roman"/>
          <w:noProof/>
          <w:lang w:val="en-US"/>
        </w:rPr>
        <w:t>c</w:t>
      </w:r>
      <w:r w:rsidRPr="001B21F0">
        <w:rPr>
          <w:rFonts w:ascii="Book Antiqua" w:hAnsi="Book Antiqua" w:cs="Times New Roman"/>
          <w:noProof/>
          <w:lang w:val="en-US"/>
        </w:rPr>
        <w:t xml:space="preserve">ritical </w:t>
      </w:r>
      <w:r w:rsidR="003F2579" w:rsidRPr="001B21F0">
        <w:rPr>
          <w:rFonts w:ascii="Book Antiqua" w:hAnsi="Book Antiqua" w:cs="Times New Roman"/>
          <w:noProof/>
          <w:lang w:val="en-US"/>
        </w:rPr>
        <w:t>r</w:t>
      </w:r>
      <w:r w:rsidRPr="001B21F0">
        <w:rPr>
          <w:rFonts w:ascii="Book Antiqua" w:hAnsi="Book Antiqua" w:cs="Times New Roman"/>
          <w:noProof/>
          <w:lang w:val="en-US"/>
        </w:rPr>
        <w:t xml:space="preserve">eview. </w:t>
      </w:r>
      <w:r w:rsidRPr="001B21F0">
        <w:rPr>
          <w:rFonts w:ascii="Book Antiqua" w:hAnsi="Book Antiqua" w:cs="Times New Roman"/>
          <w:i/>
          <w:noProof/>
          <w:lang w:val="en-US"/>
        </w:rPr>
        <w:t>Journal of Child Sexual Abuse, 12</w:t>
      </w:r>
      <w:r w:rsidRPr="001B21F0">
        <w:rPr>
          <w:rFonts w:ascii="Book Antiqua" w:hAnsi="Book Antiqua" w:cs="Times New Roman"/>
          <w:noProof/>
          <w:lang w:val="en-US"/>
        </w:rPr>
        <w:t>, 89-121.</w:t>
      </w:r>
    </w:p>
    <w:p w14:paraId="72746257" w14:textId="77777777"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Vieira, K. M., &amp; Lane, S. M. (2013). How you lie affects what you remember. </w:t>
      </w:r>
      <w:r w:rsidRPr="001B21F0">
        <w:rPr>
          <w:rFonts w:ascii="Book Antiqua" w:hAnsi="Book Antiqua" w:cs="Times New Roman"/>
          <w:i/>
          <w:iCs/>
          <w:noProof/>
          <w:lang w:val="en-US"/>
        </w:rPr>
        <w:t>Journal of Applied Research in Memory and Cognition</w:t>
      </w:r>
      <w:r w:rsidRPr="001B21F0">
        <w:rPr>
          <w:rFonts w:ascii="Book Antiqua" w:hAnsi="Book Antiqua" w:cs="Times New Roman"/>
          <w:noProof/>
          <w:lang w:val="en-US"/>
        </w:rPr>
        <w:t xml:space="preserve">, </w:t>
      </w:r>
      <w:r w:rsidRPr="001B21F0">
        <w:rPr>
          <w:rFonts w:ascii="Book Antiqua" w:hAnsi="Book Antiqua" w:cs="Times New Roman"/>
          <w:i/>
          <w:iCs/>
          <w:noProof/>
          <w:lang w:val="en-US"/>
        </w:rPr>
        <w:t>2</w:t>
      </w:r>
      <w:r w:rsidRPr="001B21F0">
        <w:rPr>
          <w:rFonts w:ascii="Book Antiqua" w:hAnsi="Book Antiqua" w:cs="Times New Roman"/>
          <w:noProof/>
          <w:lang w:val="en-US"/>
        </w:rPr>
        <w:t xml:space="preserve">, 173–178. </w:t>
      </w:r>
      <w:r w:rsidR="0073683B" w:rsidRPr="001B21F0">
        <w:rPr>
          <w:rFonts w:ascii="Book Antiqua" w:hAnsi="Book Antiqua" w:cs="Times New Roman"/>
          <w:noProof/>
          <w:lang w:val="en-US"/>
        </w:rPr>
        <w:t>doi.org/</w:t>
      </w:r>
      <w:r w:rsidRPr="001B21F0">
        <w:rPr>
          <w:rFonts w:ascii="Book Antiqua" w:hAnsi="Book Antiqua" w:cs="Times New Roman"/>
          <w:noProof/>
          <w:lang w:val="en-US"/>
        </w:rPr>
        <w:t>10.1016/j.jarmac.2013.05.005</w:t>
      </w:r>
    </w:p>
    <w:p w14:paraId="75EDA06F" w14:textId="1FB9DBC4" w:rsidR="00D4694C" w:rsidRPr="001B21F0" w:rsidRDefault="00D4694C"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lang w:val="en-US"/>
        </w:rPr>
        <w:t xml:space="preserve">Walsh, K., Fortier, M. A., &amp; DiLillo, D. (2010). Adult coping with childhood sexual abuse: A theoretical and empirical review. </w:t>
      </w:r>
      <w:r w:rsidRPr="001B21F0">
        <w:rPr>
          <w:rFonts w:ascii="Book Antiqua" w:hAnsi="Book Antiqua" w:cs="Times New Roman"/>
          <w:i/>
          <w:iCs/>
          <w:noProof/>
          <w:lang w:val="en-US"/>
        </w:rPr>
        <w:t>Aggression and Violent Behavior</w:t>
      </w:r>
      <w:r w:rsidR="00464468" w:rsidRPr="001B21F0">
        <w:rPr>
          <w:rFonts w:ascii="Book Antiqua" w:hAnsi="Book Antiqua" w:cs="Times New Roman"/>
          <w:i/>
          <w:iCs/>
          <w:noProof/>
          <w:lang w:val="en-US"/>
        </w:rPr>
        <w:t xml:space="preserve">, 15, </w:t>
      </w:r>
      <w:r w:rsidR="00464468" w:rsidRPr="001B21F0">
        <w:rPr>
          <w:rFonts w:ascii="Book Antiqua" w:hAnsi="Book Antiqua" w:cs="Times New Roman"/>
          <w:iCs/>
          <w:noProof/>
          <w:lang w:val="en-US"/>
        </w:rPr>
        <w:t>1-3</w:t>
      </w:r>
      <w:r w:rsidRPr="001B21F0">
        <w:rPr>
          <w:rFonts w:ascii="Book Antiqua" w:hAnsi="Book Antiqua" w:cs="Times New Roman"/>
          <w:noProof/>
          <w:lang w:val="en-US"/>
        </w:rPr>
        <w:t xml:space="preserve">. </w:t>
      </w:r>
      <w:r w:rsidR="0073683B" w:rsidRPr="001B21F0">
        <w:rPr>
          <w:rFonts w:ascii="Book Antiqua" w:hAnsi="Book Antiqua" w:cs="Times New Roman"/>
          <w:noProof/>
          <w:lang w:val="en-US"/>
        </w:rPr>
        <w:t>doi.org/</w:t>
      </w:r>
      <w:r w:rsidRPr="001B21F0">
        <w:rPr>
          <w:rFonts w:ascii="Book Antiqua" w:hAnsi="Book Antiqua" w:cs="Times New Roman"/>
          <w:noProof/>
          <w:lang w:val="en-US"/>
        </w:rPr>
        <w:t>10.1016/j.avb.2009.06.009</w:t>
      </w:r>
    </w:p>
    <w:p w14:paraId="3830B3D7" w14:textId="77777777" w:rsidR="00166DD8" w:rsidRPr="001B21F0" w:rsidRDefault="00166DD8" w:rsidP="00DB47B6">
      <w:pPr>
        <w:widowControl w:val="0"/>
        <w:autoSpaceDE w:val="0"/>
        <w:autoSpaceDN w:val="0"/>
        <w:adjustRightInd w:val="0"/>
        <w:spacing w:after="0" w:line="240" w:lineRule="auto"/>
        <w:ind w:left="284" w:hanging="284"/>
        <w:jc w:val="both"/>
        <w:rPr>
          <w:rFonts w:ascii="Book Antiqua" w:hAnsi="Book Antiqua" w:cs="Times New Roman"/>
          <w:noProof/>
          <w:shd w:val="clear" w:color="auto" w:fill="FFFFFF"/>
          <w:lang w:val="en-US"/>
        </w:rPr>
      </w:pPr>
      <w:r w:rsidRPr="001B21F0">
        <w:rPr>
          <w:rFonts w:ascii="Book Antiqua" w:hAnsi="Book Antiqua" w:cs="Times New Roman"/>
          <w:noProof/>
          <w:shd w:val="clear" w:color="auto" w:fill="FFFFFF"/>
          <w:lang w:val="en-US"/>
        </w:rPr>
        <w:t>Wood, Orsak, Murphy, &amp; Cross. (1996). Semistructured child sexual abuse interviews: Interview and child characteristics related to credibility of disclosure. </w:t>
      </w:r>
      <w:r w:rsidRPr="001B21F0">
        <w:rPr>
          <w:rFonts w:ascii="Book Antiqua" w:hAnsi="Book Antiqua" w:cs="Times New Roman"/>
          <w:i/>
          <w:iCs/>
          <w:noProof/>
          <w:shd w:val="clear" w:color="auto" w:fill="FFFFFF"/>
          <w:lang w:val="en-US"/>
        </w:rPr>
        <w:t>Child Abuse &amp; Neglect,</w:t>
      </w:r>
      <w:r w:rsidRPr="001B21F0">
        <w:rPr>
          <w:rFonts w:ascii="Book Antiqua" w:hAnsi="Book Antiqua" w:cs="Times New Roman"/>
          <w:noProof/>
          <w:shd w:val="clear" w:color="auto" w:fill="FFFFFF"/>
          <w:lang w:val="en-US"/>
        </w:rPr>
        <w:t> </w:t>
      </w:r>
      <w:r w:rsidRPr="001B21F0">
        <w:rPr>
          <w:rFonts w:ascii="Book Antiqua" w:hAnsi="Book Antiqua" w:cs="Times New Roman"/>
          <w:i/>
          <w:iCs/>
          <w:noProof/>
          <w:shd w:val="clear" w:color="auto" w:fill="FFFFFF"/>
          <w:lang w:val="en-US"/>
        </w:rPr>
        <w:t>20</w:t>
      </w:r>
      <w:r w:rsidRPr="001B21F0">
        <w:rPr>
          <w:rFonts w:ascii="Book Antiqua" w:hAnsi="Book Antiqua" w:cs="Times New Roman"/>
          <w:noProof/>
          <w:shd w:val="clear" w:color="auto" w:fill="FFFFFF"/>
          <w:lang w:val="en-US"/>
        </w:rPr>
        <w:t>, 81-92.</w:t>
      </w:r>
    </w:p>
    <w:p w14:paraId="30CAA163" w14:textId="5D8950E7" w:rsidR="00B02D47" w:rsidRPr="001B21F0" w:rsidRDefault="00B02D47" w:rsidP="00DB47B6">
      <w:pPr>
        <w:widowControl w:val="0"/>
        <w:autoSpaceDE w:val="0"/>
        <w:autoSpaceDN w:val="0"/>
        <w:adjustRightInd w:val="0"/>
        <w:spacing w:after="0" w:line="240" w:lineRule="auto"/>
        <w:ind w:left="284" w:hanging="284"/>
        <w:jc w:val="both"/>
        <w:rPr>
          <w:rFonts w:ascii="Book Antiqua" w:hAnsi="Book Antiqua" w:cs="Times New Roman"/>
          <w:noProof/>
          <w:lang w:val="en-US"/>
        </w:rPr>
      </w:pPr>
      <w:r w:rsidRPr="001B21F0">
        <w:rPr>
          <w:rFonts w:ascii="Book Antiqua" w:hAnsi="Book Antiqua" w:cs="Times New Roman"/>
          <w:noProof/>
          <w:shd w:val="clear" w:color="auto" w:fill="FFFFFF"/>
          <w:lang w:val="en-US"/>
        </w:rPr>
        <w:t xml:space="preserve">World Health Organization. (2016). </w:t>
      </w:r>
      <w:r w:rsidRPr="001B21F0">
        <w:rPr>
          <w:rFonts w:ascii="Book Antiqua" w:hAnsi="Book Antiqua" w:cs="Times New Roman"/>
          <w:i/>
          <w:noProof/>
          <w:shd w:val="clear" w:color="auto" w:fill="FFFFFF"/>
          <w:lang w:val="en-US"/>
        </w:rPr>
        <w:t>Child Maltreatment</w:t>
      </w:r>
      <w:r w:rsidRPr="001B21F0">
        <w:rPr>
          <w:rFonts w:ascii="Book Antiqua" w:hAnsi="Book Antiqua" w:cs="Times New Roman"/>
          <w:noProof/>
          <w:shd w:val="clear" w:color="auto" w:fill="FFFFFF"/>
          <w:lang w:val="en-US"/>
        </w:rPr>
        <w:t>. Retrieved from http://www.who.int/mediacentre/factsheets/fs150/en/</w:t>
      </w:r>
    </w:p>
    <w:p w14:paraId="3F702023" w14:textId="77777777" w:rsidR="00D4694C" w:rsidRPr="00EC4C45" w:rsidRDefault="00D4694C" w:rsidP="00DB47B6">
      <w:pPr>
        <w:widowControl w:val="0"/>
        <w:autoSpaceDE w:val="0"/>
        <w:autoSpaceDN w:val="0"/>
        <w:adjustRightInd w:val="0"/>
        <w:spacing w:after="0" w:line="240" w:lineRule="auto"/>
        <w:ind w:left="284" w:hanging="284"/>
        <w:jc w:val="both"/>
        <w:rPr>
          <w:rFonts w:ascii="Book Antiqua" w:hAnsi="Book Antiqua" w:cs="Times New Roman"/>
          <w:lang w:val="en-US"/>
        </w:rPr>
      </w:pPr>
      <w:r w:rsidRPr="001B21F0">
        <w:rPr>
          <w:rFonts w:ascii="Book Antiqua" w:hAnsi="Book Antiqua" w:cs="Times New Roman"/>
          <w:lang w:val="en-US"/>
        </w:rPr>
        <w:fldChar w:fldCharType="end"/>
      </w:r>
    </w:p>
    <w:p w14:paraId="4B8DC12C" w14:textId="77777777" w:rsidR="00D4694C" w:rsidRPr="00EC4C45" w:rsidRDefault="00D4694C" w:rsidP="00DB47B6">
      <w:pPr>
        <w:spacing w:after="0" w:line="240" w:lineRule="auto"/>
        <w:jc w:val="both"/>
        <w:rPr>
          <w:rFonts w:ascii="Book Antiqua" w:hAnsi="Book Antiqua" w:cs="Times New Roman"/>
          <w:lang w:val="en-US"/>
        </w:rPr>
      </w:pPr>
    </w:p>
    <w:bookmarkEnd w:id="1"/>
    <w:p w14:paraId="18388263" w14:textId="77777777" w:rsidR="005F3BC4" w:rsidRPr="00EC4C45" w:rsidRDefault="005F3BC4" w:rsidP="00DB47B6">
      <w:pPr>
        <w:pStyle w:val="FootnoteText"/>
        <w:jc w:val="both"/>
        <w:rPr>
          <w:rFonts w:ascii="Book Antiqua" w:hAnsi="Book Antiqua" w:cs="Times New Roman"/>
          <w:sz w:val="22"/>
          <w:szCs w:val="22"/>
          <w:lang w:val="en-US"/>
        </w:rPr>
      </w:pPr>
    </w:p>
    <w:sectPr w:rsidR="005F3BC4" w:rsidRPr="00EC4C45" w:rsidSect="0017157A">
      <w:type w:val="continuous"/>
      <w:pgSz w:w="11906" w:h="16838" w:code="9"/>
      <w:pgMar w:top="1021" w:right="992" w:bottom="1440" w:left="992" w:header="142" w:footer="709" w:gutter="0"/>
      <w:pgNumType w:start="46"/>
      <w:cols w:num="2" w:space="28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68A04" w14:textId="77777777" w:rsidR="00EC29DF" w:rsidRDefault="00EC29DF" w:rsidP="00D4694C">
      <w:pPr>
        <w:spacing w:after="0" w:line="240" w:lineRule="auto"/>
      </w:pPr>
      <w:r>
        <w:separator/>
      </w:r>
    </w:p>
  </w:endnote>
  <w:endnote w:type="continuationSeparator" w:id="0">
    <w:p w14:paraId="76247135" w14:textId="77777777" w:rsidR="00EC29DF" w:rsidRDefault="00EC29DF" w:rsidP="00D4694C">
      <w:pPr>
        <w:spacing w:after="0" w:line="240" w:lineRule="auto"/>
      </w:pPr>
      <w:r>
        <w:continuationSeparator/>
      </w:r>
    </w:p>
  </w:endnote>
  <w:endnote w:type="continuationNotice" w:id="1">
    <w:p w14:paraId="06E59C1E" w14:textId="77777777" w:rsidR="00EC29DF" w:rsidRDefault="00EC29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49C2" w14:textId="52E45713" w:rsidR="00E92217" w:rsidRPr="00D4095C" w:rsidRDefault="00E92217">
    <w:pPr>
      <w:pStyle w:val="Footer"/>
      <w:jc w:val="center"/>
      <w:rPr>
        <w:rFonts w:ascii="Times New Roman" w:hAnsi="Times New Roman" w:cs="Times New Roman"/>
        <w:sz w:val="24"/>
        <w:szCs w:val="24"/>
      </w:rPr>
    </w:pPr>
  </w:p>
  <w:p w14:paraId="77206553" w14:textId="77777777" w:rsidR="00E92217" w:rsidRDefault="00E92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87D98" w14:textId="77777777" w:rsidR="00EC29DF" w:rsidRDefault="00EC29DF" w:rsidP="00D4694C">
      <w:pPr>
        <w:spacing w:after="0" w:line="240" w:lineRule="auto"/>
      </w:pPr>
      <w:r>
        <w:separator/>
      </w:r>
    </w:p>
  </w:footnote>
  <w:footnote w:type="continuationSeparator" w:id="0">
    <w:p w14:paraId="34FA104B" w14:textId="77777777" w:rsidR="00EC29DF" w:rsidRDefault="00EC29DF" w:rsidP="00D4694C">
      <w:pPr>
        <w:spacing w:after="0" w:line="240" w:lineRule="auto"/>
      </w:pPr>
      <w:r>
        <w:continuationSeparator/>
      </w:r>
    </w:p>
  </w:footnote>
  <w:footnote w:type="continuationNotice" w:id="1">
    <w:p w14:paraId="2B38F5FC" w14:textId="77777777" w:rsidR="00EC29DF" w:rsidRDefault="00EC29DF">
      <w:pPr>
        <w:spacing w:after="0" w:line="240" w:lineRule="auto"/>
      </w:pPr>
    </w:p>
  </w:footnote>
  <w:footnote w:id="2">
    <w:p w14:paraId="246D597C" w14:textId="0D9BD98A" w:rsidR="00E92217" w:rsidRPr="001C1B65" w:rsidRDefault="00E92217" w:rsidP="00D4694C">
      <w:pPr>
        <w:pStyle w:val="FootnoteText"/>
        <w:rPr>
          <w:rFonts w:ascii="Book Antiqua" w:hAnsi="Book Antiqua" w:cs="Times New Roman"/>
          <w:lang w:val="en-US"/>
        </w:rPr>
      </w:pPr>
      <w:r>
        <w:rPr>
          <w:rStyle w:val="FootnoteReference"/>
        </w:rPr>
        <w:footnoteRef/>
      </w:r>
      <w:r w:rsidRPr="000D7BCC">
        <w:rPr>
          <w:lang w:val="en-US"/>
        </w:rPr>
        <w:t xml:space="preserve"> </w:t>
      </w:r>
      <w:r w:rsidRPr="001C1B65">
        <w:rPr>
          <w:rFonts w:ascii="Book Antiqua" w:hAnsi="Book Antiqua" w:cs="Times New Roman"/>
          <w:lang w:val="en-US"/>
        </w:rPr>
        <w:t xml:space="preserve">Details about the case can be found on several online sources, including: </w:t>
      </w:r>
      <w:hyperlink r:id="rId1" w:history="1">
        <w:r w:rsidRPr="001C1B65">
          <w:rPr>
            <w:rStyle w:val="Hyperlink"/>
            <w:rFonts w:ascii="Book Antiqua" w:hAnsi="Book Antiqua" w:cs="Times New Roman"/>
            <w:lang w:val="en-US"/>
          </w:rPr>
          <w:t>http://edition.cnn.com/2008/CRIME/07/31/preacher.freezer/</w:t>
        </w:r>
      </w:hyperlink>
    </w:p>
    <w:p w14:paraId="120EA192" w14:textId="77777777" w:rsidR="00E92217" w:rsidRPr="000D7BCC" w:rsidRDefault="00E92217" w:rsidP="00D4694C">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F9962" w14:textId="77777777" w:rsidR="00E92217" w:rsidRPr="009D3D1E" w:rsidRDefault="00E92217">
    <w:pPr>
      <w:pStyle w:val="Header"/>
      <w:pBdr>
        <w:bottom w:val="single" w:sz="4" w:space="1" w:color="D9D9D9" w:themeColor="background1" w:themeShade="D9"/>
      </w:pBdr>
      <w:rPr>
        <w:rFonts w:ascii="Book Antiqua" w:hAnsi="Book Antiqua" w:cstheme="majorBidi"/>
        <w:sz w:val="24"/>
        <w:szCs w:val="24"/>
      </w:rPr>
    </w:pPr>
  </w:p>
  <w:sdt>
    <w:sdtPr>
      <w:rPr>
        <w:rFonts w:ascii="Book Antiqua" w:hAnsi="Book Antiqua" w:cstheme="majorBidi"/>
        <w:sz w:val="24"/>
        <w:szCs w:val="24"/>
      </w:rPr>
      <w:id w:val="-1077509426"/>
      <w:docPartObj>
        <w:docPartGallery w:val="Page Numbers (Top of Page)"/>
        <w:docPartUnique/>
      </w:docPartObj>
    </w:sdtPr>
    <w:sdtEndPr>
      <w:rPr>
        <w:spacing w:val="60"/>
      </w:rPr>
    </w:sdtEndPr>
    <w:sdtContent>
      <w:p w14:paraId="056DCE69" w14:textId="5C3EBFC2" w:rsidR="00E92217" w:rsidRPr="009D3D1E" w:rsidRDefault="00E92217" w:rsidP="009D3D1E">
        <w:pPr>
          <w:pStyle w:val="Header"/>
          <w:pBdr>
            <w:bottom w:val="single" w:sz="4" w:space="1" w:color="D9D9D9" w:themeColor="background1" w:themeShade="D9"/>
          </w:pBdr>
          <w:tabs>
            <w:tab w:val="clear" w:pos="4536"/>
            <w:tab w:val="clear" w:pos="9072"/>
            <w:tab w:val="right" w:pos="9921"/>
          </w:tabs>
          <w:rPr>
            <w:rFonts w:ascii="Book Antiqua" w:hAnsi="Book Antiqua" w:cstheme="majorBidi"/>
            <w:spacing w:val="60"/>
            <w:sz w:val="24"/>
            <w:szCs w:val="24"/>
          </w:rPr>
        </w:pPr>
        <w:r w:rsidRPr="00B64142">
          <w:rPr>
            <w:rFonts w:ascii="Book Antiqua" w:hAnsi="Book Antiqua" w:cstheme="majorBidi"/>
            <w:b/>
            <w:bCs/>
            <w:sz w:val="24"/>
            <w:szCs w:val="24"/>
          </w:rPr>
          <w:fldChar w:fldCharType="begin"/>
        </w:r>
        <w:r w:rsidRPr="00B64142">
          <w:rPr>
            <w:rFonts w:ascii="Book Antiqua" w:hAnsi="Book Antiqua" w:cstheme="majorBidi"/>
            <w:b/>
            <w:bCs/>
            <w:sz w:val="24"/>
            <w:szCs w:val="24"/>
          </w:rPr>
          <w:instrText xml:space="preserve"> PAGE   \* MERGEFORMAT </w:instrText>
        </w:r>
        <w:r w:rsidRPr="00B64142">
          <w:rPr>
            <w:rFonts w:ascii="Book Antiqua" w:hAnsi="Book Antiqua" w:cstheme="majorBidi"/>
            <w:b/>
            <w:bCs/>
            <w:sz w:val="24"/>
            <w:szCs w:val="24"/>
          </w:rPr>
          <w:fldChar w:fldCharType="separate"/>
        </w:r>
        <w:r w:rsidR="00B02526" w:rsidRPr="00B64142">
          <w:rPr>
            <w:rFonts w:ascii="Book Antiqua" w:hAnsi="Book Antiqua" w:cstheme="majorBidi"/>
            <w:b/>
            <w:bCs/>
            <w:noProof/>
            <w:sz w:val="24"/>
            <w:szCs w:val="24"/>
          </w:rPr>
          <w:t>4</w:t>
        </w:r>
        <w:r w:rsidRPr="00B64142">
          <w:rPr>
            <w:rFonts w:ascii="Book Antiqua" w:hAnsi="Book Antiqua" w:cstheme="majorBidi"/>
            <w:b/>
            <w:bCs/>
            <w:noProof/>
            <w:sz w:val="24"/>
            <w:szCs w:val="24"/>
          </w:rPr>
          <w:fldChar w:fldCharType="end"/>
        </w:r>
        <w:r w:rsidRPr="009D3D1E">
          <w:rPr>
            <w:rFonts w:ascii="Book Antiqua" w:hAnsi="Book Antiqua" w:cstheme="majorBidi"/>
            <w:sz w:val="24"/>
            <w:szCs w:val="24"/>
          </w:rPr>
          <w:t xml:space="preserve">  </w:t>
        </w:r>
        <w:r w:rsidRPr="009D3D1E">
          <w:rPr>
            <w:rFonts w:ascii="Book Antiqua" w:hAnsi="Book Antiqua" w:cstheme="majorBidi"/>
            <w:sz w:val="24"/>
            <w:szCs w:val="24"/>
          </w:rPr>
          <w:tab/>
        </w:r>
        <w:r w:rsidR="00B64142">
          <w:rPr>
            <w:rFonts w:ascii="Book Antiqua" w:hAnsi="Book Antiqua" w:cstheme="majorBidi"/>
            <w:i/>
            <w:iCs/>
            <w:sz w:val="24"/>
            <w:szCs w:val="24"/>
          </w:rPr>
          <w:t>Romeo et al.</w:t>
        </w:r>
      </w:p>
    </w:sdtContent>
  </w:sdt>
  <w:p w14:paraId="2D06BB9F" w14:textId="77777777" w:rsidR="00E92217" w:rsidRPr="009D3D1E" w:rsidRDefault="00E92217">
    <w:pPr>
      <w:pStyle w:val="Header"/>
      <w:rPr>
        <w:rFonts w:ascii="Book Antiqua" w:hAnsi="Book Antiqua" w:cstheme="majorBid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cstheme="majorBidi"/>
        <w:spacing w:val="60"/>
        <w:sz w:val="24"/>
        <w:szCs w:val="24"/>
      </w:rPr>
      <w:id w:val="945965754"/>
      <w:docPartObj>
        <w:docPartGallery w:val="Page Numbers (Top of Page)"/>
        <w:docPartUnique/>
      </w:docPartObj>
    </w:sdtPr>
    <w:sdtEndPr>
      <w:rPr>
        <w:noProof/>
        <w:spacing w:val="0"/>
      </w:rPr>
    </w:sdtEndPr>
    <w:sdtContent>
      <w:p w14:paraId="1BC289E7" w14:textId="77777777" w:rsidR="00E92217" w:rsidRPr="009D3D1E" w:rsidRDefault="00E92217" w:rsidP="00EF6378">
        <w:pPr>
          <w:pStyle w:val="Header"/>
          <w:pBdr>
            <w:bottom w:val="single" w:sz="4" w:space="1" w:color="D9D9D9" w:themeColor="background1" w:themeShade="D9"/>
          </w:pBdr>
          <w:tabs>
            <w:tab w:val="clear" w:pos="4536"/>
            <w:tab w:val="center" w:pos="6521"/>
          </w:tabs>
          <w:jc w:val="right"/>
          <w:rPr>
            <w:rFonts w:ascii="Book Antiqua" w:hAnsi="Book Antiqua" w:cstheme="majorBidi"/>
            <w:spacing w:val="60"/>
            <w:sz w:val="24"/>
            <w:szCs w:val="24"/>
          </w:rPr>
        </w:pPr>
      </w:p>
      <w:p w14:paraId="0A13DCAD" w14:textId="343621FC" w:rsidR="00E92217" w:rsidRPr="009D3D1E" w:rsidRDefault="00E92217" w:rsidP="009D3D1E">
        <w:pPr>
          <w:pStyle w:val="Header"/>
          <w:pBdr>
            <w:bottom w:val="single" w:sz="4" w:space="1" w:color="D9D9D9" w:themeColor="background1" w:themeShade="D9"/>
          </w:pBdr>
          <w:tabs>
            <w:tab w:val="clear" w:pos="4536"/>
            <w:tab w:val="clear" w:pos="9072"/>
            <w:tab w:val="right" w:pos="9921"/>
          </w:tabs>
          <w:jc w:val="right"/>
          <w:rPr>
            <w:rFonts w:ascii="Book Antiqua" w:hAnsi="Book Antiqua" w:cstheme="majorBidi"/>
            <w:sz w:val="24"/>
            <w:szCs w:val="24"/>
          </w:rPr>
        </w:pPr>
        <w:r w:rsidRPr="00B64142">
          <w:rPr>
            <w:rFonts w:ascii="Book Antiqua" w:hAnsi="Book Antiqua" w:cstheme="majorBidi"/>
            <w:i/>
            <w:iCs/>
            <w:sz w:val="24"/>
            <w:szCs w:val="24"/>
          </w:rPr>
          <w:t>Coping with Sexual Abuse</w:t>
        </w:r>
        <w:r w:rsidRPr="009D3D1E">
          <w:rPr>
            <w:rFonts w:ascii="Book Antiqua" w:hAnsi="Book Antiqua" w:cstheme="majorBidi"/>
            <w:sz w:val="24"/>
            <w:szCs w:val="24"/>
          </w:rPr>
          <w:t xml:space="preserve"> </w:t>
        </w:r>
        <w:r w:rsidRPr="009D3D1E">
          <w:rPr>
            <w:rFonts w:ascii="Book Antiqua" w:hAnsi="Book Antiqua" w:cstheme="majorBidi"/>
            <w:sz w:val="24"/>
            <w:szCs w:val="24"/>
          </w:rPr>
          <w:tab/>
          <w:t xml:space="preserve"> </w:t>
        </w:r>
        <w:r w:rsidRPr="00B64142">
          <w:rPr>
            <w:rFonts w:ascii="Book Antiqua" w:hAnsi="Book Antiqua" w:cstheme="majorBidi"/>
            <w:b/>
            <w:bCs/>
            <w:sz w:val="24"/>
            <w:szCs w:val="24"/>
          </w:rPr>
          <w:fldChar w:fldCharType="begin"/>
        </w:r>
        <w:r w:rsidRPr="00B64142">
          <w:rPr>
            <w:rFonts w:ascii="Book Antiqua" w:hAnsi="Book Antiqua" w:cstheme="majorBidi"/>
            <w:b/>
            <w:bCs/>
            <w:sz w:val="24"/>
            <w:szCs w:val="24"/>
          </w:rPr>
          <w:instrText xml:space="preserve"> PAGE   \* MERGEFORMAT </w:instrText>
        </w:r>
        <w:r w:rsidRPr="00B64142">
          <w:rPr>
            <w:rFonts w:ascii="Book Antiqua" w:hAnsi="Book Antiqua" w:cstheme="majorBidi"/>
            <w:b/>
            <w:bCs/>
            <w:sz w:val="24"/>
            <w:szCs w:val="24"/>
          </w:rPr>
          <w:fldChar w:fldCharType="separate"/>
        </w:r>
        <w:r w:rsidR="00B02526" w:rsidRPr="00B64142">
          <w:rPr>
            <w:rFonts w:ascii="Book Antiqua" w:hAnsi="Book Antiqua" w:cstheme="majorBidi"/>
            <w:b/>
            <w:bCs/>
            <w:noProof/>
            <w:sz w:val="24"/>
            <w:szCs w:val="24"/>
          </w:rPr>
          <w:t>3</w:t>
        </w:r>
        <w:r w:rsidRPr="00B64142">
          <w:rPr>
            <w:rFonts w:ascii="Book Antiqua" w:hAnsi="Book Antiqua" w:cstheme="majorBidi"/>
            <w:b/>
            <w:bCs/>
            <w:noProof/>
            <w:sz w:val="24"/>
            <w:szCs w:val="24"/>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E6908" w14:textId="77777777" w:rsidR="00E92217" w:rsidRPr="00314BAF" w:rsidRDefault="00E92217" w:rsidP="0015002B">
    <w:pPr>
      <w:pStyle w:val="Header"/>
      <w:tabs>
        <w:tab w:val="clear" w:pos="9072"/>
        <w:tab w:val="left" w:pos="0"/>
        <w:tab w:val="left" w:pos="7513"/>
        <w:tab w:val="left" w:pos="7938"/>
      </w:tabs>
      <w:rPr>
        <w:rFonts w:ascii="Book Antiqua" w:hAnsi="Book Antiqua" w:cstheme="majorBidi"/>
        <w:sz w:val="20"/>
        <w:szCs w:val="20"/>
      </w:rPr>
    </w:pPr>
    <w:r w:rsidRPr="00314BAF">
      <w:rPr>
        <w:rFonts w:ascii="Book Antiqua" w:hAnsi="Book Antiqua" w:cstheme="majorBidi"/>
        <w:sz w:val="24"/>
        <w:szCs w:val="24"/>
      </w:rPr>
      <w:t>R</w:t>
    </w:r>
    <w:r w:rsidRPr="00314BAF">
      <w:rPr>
        <w:rFonts w:ascii="Book Antiqua" w:hAnsi="Book Antiqua" w:cstheme="majorBidi"/>
      </w:rPr>
      <w:t xml:space="preserve">EVIEW </w:t>
    </w:r>
    <w:r w:rsidRPr="00314BAF">
      <w:rPr>
        <w:rFonts w:ascii="Book Antiqua" w:hAnsi="Book Antiqua" w:cstheme="majorBidi"/>
        <w:sz w:val="24"/>
        <w:szCs w:val="24"/>
      </w:rPr>
      <w:t>A</w:t>
    </w:r>
    <w:r w:rsidRPr="00314BAF">
      <w:rPr>
        <w:rFonts w:ascii="Book Antiqua" w:hAnsi="Book Antiqua" w:cstheme="majorBidi"/>
      </w:rPr>
      <w:t>RTICLE</w:t>
    </w:r>
    <w:r w:rsidRPr="00314BAF">
      <w:rPr>
        <w:rFonts w:ascii="Book Antiqua" w:hAnsi="Book Antiqua" w:cstheme="majorBidi"/>
        <w:sz w:val="20"/>
        <w:szCs w:val="20"/>
      </w:rPr>
      <w:tab/>
    </w:r>
    <w:r w:rsidRPr="00314BAF">
      <w:rPr>
        <w:rFonts w:ascii="Book Antiqua" w:hAnsi="Book Antiqua" w:cstheme="majorBidi"/>
        <w:sz w:val="20"/>
        <w:szCs w:val="20"/>
      </w:rPr>
      <w:tab/>
    </w:r>
    <w:r w:rsidRPr="00314BAF">
      <w:rPr>
        <w:rFonts w:ascii="Book Antiqua" w:hAnsi="Book Antiqua" w:cstheme="majorBidi"/>
        <w:sz w:val="20"/>
        <w:szCs w:val="20"/>
      </w:rPr>
      <w:tab/>
    </w:r>
    <w:r w:rsidRPr="00314BAF">
      <w:rPr>
        <w:rFonts w:ascii="Book Antiqua" w:hAnsi="Book Antiqua" w:cstheme="majorBidi"/>
        <w:noProof/>
        <w:sz w:val="20"/>
        <w:szCs w:val="20"/>
        <w:lang w:eastAsia="nl-NL"/>
      </w:rPr>
      <w:drawing>
        <wp:inline distT="0" distB="0" distL="0" distR="0" wp14:anchorId="4D0C7D3A" wp14:editId="732CEF30">
          <wp:extent cx="985520" cy="700405"/>
          <wp:effectExtent l="0" t="0" r="5080" b="4445"/>
          <wp:docPr id="19" name="Picture 19"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close up of a logo&#10;&#10;Description generated with high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5520" cy="700405"/>
                  </a:xfrm>
                  <a:prstGeom prst="rect">
                    <a:avLst/>
                  </a:prstGeom>
                  <a:noFill/>
                  <a:ln>
                    <a:noFill/>
                  </a:ln>
                </pic:spPr>
              </pic:pic>
            </a:graphicData>
          </a:graphic>
        </wp:inline>
      </w:drawing>
    </w:r>
  </w:p>
  <w:p w14:paraId="23034A99" w14:textId="59E22A3F" w:rsidR="00E92217" w:rsidRPr="00314BAF" w:rsidRDefault="00E92217" w:rsidP="0015002B">
    <w:pPr>
      <w:pStyle w:val="Header"/>
      <w:tabs>
        <w:tab w:val="left" w:pos="0"/>
        <w:tab w:val="left" w:pos="7938"/>
      </w:tabs>
      <w:rPr>
        <w:rFonts w:ascii="Book Antiqua" w:hAnsi="Book Antiqua" w:cstheme="majorBidi"/>
        <w:sz w:val="20"/>
        <w:szCs w:val="20"/>
      </w:rPr>
    </w:pPr>
    <w:r w:rsidRPr="00314BAF">
      <w:rPr>
        <w:rFonts w:ascii="Book Antiqua" w:hAnsi="Book Antiqua" w:cstheme="majorBidi"/>
        <w:noProof/>
        <w:sz w:val="20"/>
        <w:szCs w:val="20"/>
        <w:lang w:eastAsia="nl-NL"/>
      </w:rPr>
      <mc:AlternateContent>
        <mc:Choice Requires="wps">
          <w:drawing>
            <wp:anchor distT="0" distB="0" distL="114300" distR="114300" simplePos="0" relativeHeight="251657728" behindDoc="0" locked="0" layoutInCell="1" allowOverlap="1" wp14:anchorId="1DE0EB77" wp14:editId="58B604C7">
              <wp:simplePos x="0" y="0"/>
              <wp:positionH relativeFrom="column">
                <wp:posOffset>5715</wp:posOffset>
              </wp:positionH>
              <wp:positionV relativeFrom="paragraph">
                <wp:posOffset>117475</wp:posOffset>
              </wp:positionV>
              <wp:extent cx="627888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627824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95E775" id="Straight Connector 1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25pt" to="494.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" strokecolor="black [304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2MjAyMbMwMDc3szRW0lEKTi0uzszPAykwrQUAHsa0sywAAAA="/>
  </w:docVars>
  <w:rsids>
    <w:rsidRoot w:val="00D4694C"/>
    <w:rsid w:val="0000192A"/>
    <w:rsid w:val="00003839"/>
    <w:rsid w:val="00014702"/>
    <w:rsid w:val="0002152B"/>
    <w:rsid w:val="0004184B"/>
    <w:rsid w:val="0006371B"/>
    <w:rsid w:val="000666D3"/>
    <w:rsid w:val="0008162F"/>
    <w:rsid w:val="00091747"/>
    <w:rsid w:val="000C0049"/>
    <w:rsid w:val="000E2DF3"/>
    <w:rsid w:val="000F5404"/>
    <w:rsid w:val="00116B48"/>
    <w:rsid w:val="001257C2"/>
    <w:rsid w:val="00127D7B"/>
    <w:rsid w:val="0014025F"/>
    <w:rsid w:val="00140563"/>
    <w:rsid w:val="00140E1C"/>
    <w:rsid w:val="00145817"/>
    <w:rsid w:val="0015002B"/>
    <w:rsid w:val="00160C6E"/>
    <w:rsid w:val="00166DD8"/>
    <w:rsid w:val="0017157A"/>
    <w:rsid w:val="00195835"/>
    <w:rsid w:val="001A5CD9"/>
    <w:rsid w:val="001A753E"/>
    <w:rsid w:val="001B21F0"/>
    <w:rsid w:val="001C1B65"/>
    <w:rsid w:val="001C2242"/>
    <w:rsid w:val="001C438F"/>
    <w:rsid w:val="001E0EBF"/>
    <w:rsid w:val="001E1B60"/>
    <w:rsid w:val="001E3CF6"/>
    <w:rsid w:val="00213A97"/>
    <w:rsid w:val="00215D74"/>
    <w:rsid w:val="002169E4"/>
    <w:rsid w:val="002205CA"/>
    <w:rsid w:val="00231777"/>
    <w:rsid w:val="00232C29"/>
    <w:rsid w:val="0023755B"/>
    <w:rsid w:val="0024422A"/>
    <w:rsid w:val="002471A1"/>
    <w:rsid w:val="002601A4"/>
    <w:rsid w:val="00263753"/>
    <w:rsid w:val="00273166"/>
    <w:rsid w:val="00282EF9"/>
    <w:rsid w:val="00284227"/>
    <w:rsid w:val="002910F2"/>
    <w:rsid w:val="002936A9"/>
    <w:rsid w:val="002A2CF0"/>
    <w:rsid w:val="002A30A4"/>
    <w:rsid w:val="002B63D2"/>
    <w:rsid w:val="002C43F9"/>
    <w:rsid w:val="002C5904"/>
    <w:rsid w:val="002D7459"/>
    <w:rsid w:val="002E5E46"/>
    <w:rsid w:val="002E6684"/>
    <w:rsid w:val="002F3642"/>
    <w:rsid w:val="002F48B7"/>
    <w:rsid w:val="002F4FE7"/>
    <w:rsid w:val="00300491"/>
    <w:rsid w:val="0030221E"/>
    <w:rsid w:val="00303C6C"/>
    <w:rsid w:val="00305DA4"/>
    <w:rsid w:val="00310092"/>
    <w:rsid w:val="00314BAF"/>
    <w:rsid w:val="00323A66"/>
    <w:rsid w:val="003528B4"/>
    <w:rsid w:val="0036225F"/>
    <w:rsid w:val="00363F53"/>
    <w:rsid w:val="00377C95"/>
    <w:rsid w:val="003844AD"/>
    <w:rsid w:val="00387D25"/>
    <w:rsid w:val="00390F32"/>
    <w:rsid w:val="00396A79"/>
    <w:rsid w:val="003A0A05"/>
    <w:rsid w:val="003C2066"/>
    <w:rsid w:val="003D1EDD"/>
    <w:rsid w:val="003E41A5"/>
    <w:rsid w:val="003E4923"/>
    <w:rsid w:val="003F2579"/>
    <w:rsid w:val="004032A9"/>
    <w:rsid w:val="00403C50"/>
    <w:rsid w:val="00412B48"/>
    <w:rsid w:val="0041391F"/>
    <w:rsid w:val="00420D25"/>
    <w:rsid w:val="00427ECF"/>
    <w:rsid w:val="00434BC4"/>
    <w:rsid w:val="00464468"/>
    <w:rsid w:val="00464BDB"/>
    <w:rsid w:val="00466933"/>
    <w:rsid w:val="00472333"/>
    <w:rsid w:val="00473D73"/>
    <w:rsid w:val="004A4BBD"/>
    <w:rsid w:val="004B4D1A"/>
    <w:rsid w:val="004C252A"/>
    <w:rsid w:val="004C3E82"/>
    <w:rsid w:val="004D158B"/>
    <w:rsid w:val="004D36ED"/>
    <w:rsid w:val="004E602B"/>
    <w:rsid w:val="004F2025"/>
    <w:rsid w:val="004F2D26"/>
    <w:rsid w:val="004F4A9B"/>
    <w:rsid w:val="004F6BD5"/>
    <w:rsid w:val="0050777B"/>
    <w:rsid w:val="00512AC9"/>
    <w:rsid w:val="0052291C"/>
    <w:rsid w:val="00530FEE"/>
    <w:rsid w:val="0053355E"/>
    <w:rsid w:val="005335F9"/>
    <w:rsid w:val="00546E9C"/>
    <w:rsid w:val="005576CE"/>
    <w:rsid w:val="00573766"/>
    <w:rsid w:val="00577CCA"/>
    <w:rsid w:val="00594886"/>
    <w:rsid w:val="005A1D50"/>
    <w:rsid w:val="005A5877"/>
    <w:rsid w:val="005D0B94"/>
    <w:rsid w:val="005D200D"/>
    <w:rsid w:val="005E0291"/>
    <w:rsid w:val="005E0EE6"/>
    <w:rsid w:val="005E32A1"/>
    <w:rsid w:val="005E6253"/>
    <w:rsid w:val="005F3BC4"/>
    <w:rsid w:val="00614595"/>
    <w:rsid w:val="006237D2"/>
    <w:rsid w:val="0063664A"/>
    <w:rsid w:val="00647FAD"/>
    <w:rsid w:val="00651E79"/>
    <w:rsid w:val="006553CC"/>
    <w:rsid w:val="00656312"/>
    <w:rsid w:val="00686356"/>
    <w:rsid w:val="00695A59"/>
    <w:rsid w:val="00695B33"/>
    <w:rsid w:val="006C2873"/>
    <w:rsid w:val="006C5D74"/>
    <w:rsid w:val="006D0EBC"/>
    <w:rsid w:val="00703724"/>
    <w:rsid w:val="00722DD0"/>
    <w:rsid w:val="00735C5A"/>
    <w:rsid w:val="0073683B"/>
    <w:rsid w:val="00736CFD"/>
    <w:rsid w:val="007440AB"/>
    <w:rsid w:val="00744192"/>
    <w:rsid w:val="0074683F"/>
    <w:rsid w:val="00760964"/>
    <w:rsid w:val="00762136"/>
    <w:rsid w:val="00763E0E"/>
    <w:rsid w:val="007714CD"/>
    <w:rsid w:val="00776057"/>
    <w:rsid w:val="00797DB2"/>
    <w:rsid w:val="007B1D29"/>
    <w:rsid w:val="007C2BBF"/>
    <w:rsid w:val="007D697D"/>
    <w:rsid w:val="007E2136"/>
    <w:rsid w:val="007F5A32"/>
    <w:rsid w:val="00805AC8"/>
    <w:rsid w:val="008217DE"/>
    <w:rsid w:val="00822B6A"/>
    <w:rsid w:val="00845B1E"/>
    <w:rsid w:val="00847F97"/>
    <w:rsid w:val="00850138"/>
    <w:rsid w:val="00863779"/>
    <w:rsid w:val="00892941"/>
    <w:rsid w:val="00893C75"/>
    <w:rsid w:val="008B66E2"/>
    <w:rsid w:val="008C25CC"/>
    <w:rsid w:val="008C4E0B"/>
    <w:rsid w:val="008C51F9"/>
    <w:rsid w:val="008D78CB"/>
    <w:rsid w:val="008F1704"/>
    <w:rsid w:val="008F45F9"/>
    <w:rsid w:val="008F6423"/>
    <w:rsid w:val="008F748E"/>
    <w:rsid w:val="008F7E01"/>
    <w:rsid w:val="008F7E28"/>
    <w:rsid w:val="009019ED"/>
    <w:rsid w:val="00902F27"/>
    <w:rsid w:val="009034D2"/>
    <w:rsid w:val="00911526"/>
    <w:rsid w:val="00925CB1"/>
    <w:rsid w:val="00935692"/>
    <w:rsid w:val="00971E98"/>
    <w:rsid w:val="00972A7B"/>
    <w:rsid w:val="00980A94"/>
    <w:rsid w:val="009831D2"/>
    <w:rsid w:val="009861BA"/>
    <w:rsid w:val="0099079A"/>
    <w:rsid w:val="00992805"/>
    <w:rsid w:val="00995299"/>
    <w:rsid w:val="00995C52"/>
    <w:rsid w:val="00996312"/>
    <w:rsid w:val="009A01BC"/>
    <w:rsid w:val="009A56A1"/>
    <w:rsid w:val="009C5E9F"/>
    <w:rsid w:val="009D2AA5"/>
    <w:rsid w:val="009D2D50"/>
    <w:rsid w:val="009D3D1E"/>
    <w:rsid w:val="00A135C9"/>
    <w:rsid w:val="00A23632"/>
    <w:rsid w:val="00A3302A"/>
    <w:rsid w:val="00A405CE"/>
    <w:rsid w:val="00A41156"/>
    <w:rsid w:val="00A42124"/>
    <w:rsid w:val="00A4343C"/>
    <w:rsid w:val="00A519E1"/>
    <w:rsid w:val="00A5202B"/>
    <w:rsid w:val="00A53960"/>
    <w:rsid w:val="00A63673"/>
    <w:rsid w:val="00A7596D"/>
    <w:rsid w:val="00A84F31"/>
    <w:rsid w:val="00A87E13"/>
    <w:rsid w:val="00A92A7A"/>
    <w:rsid w:val="00A92DFC"/>
    <w:rsid w:val="00A966B3"/>
    <w:rsid w:val="00AA3705"/>
    <w:rsid w:val="00AC0150"/>
    <w:rsid w:val="00AC3AF6"/>
    <w:rsid w:val="00AD0D08"/>
    <w:rsid w:val="00AE04D3"/>
    <w:rsid w:val="00AE1C4A"/>
    <w:rsid w:val="00AF6186"/>
    <w:rsid w:val="00B02526"/>
    <w:rsid w:val="00B02D47"/>
    <w:rsid w:val="00B052AE"/>
    <w:rsid w:val="00B062F3"/>
    <w:rsid w:val="00B11E8B"/>
    <w:rsid w:val="00B24F3E"/>
    <w:rsid w:val="00B26509"/>
    <w:rsid w:val="00B33541"/>
    <w:rsid w:val="00B36135"/>
    <w:rsid w:val="00B4098B"/>
    <w:rsid w:val="00B53ED5"/>
    <w:rsid w:val="00B64142"/>
    <w:rsid w:val="00B7351E"/>
    <w:rsid w:val="00B739E0"/>
    <w:rsid w:val="00B91DAB"/>
    <w:rsid w:val="00B931BE"/>
    <w:rsid w:val="00BA0491"/>
    <w:rsid w:val="00BA1891"/>
    <w:rsid w:val="00BB6A33"/>
    <w:rsid w:val="00BC3A0E"/>
    <w:rsid w:val="00BD127C"/>
    <w:rsid w:val="00BD7F4F"/>
    <w:rsid w:val="00BE09CB"/>
    <w:rsid w:val="00BE19FB"/>
    <w:rsid w:val="00BE56A8"/>
    <w:rsid w:val="00BF16D3"/>
    <w:rsid w:val="00C06771"/>
    <w:rsid w:val="00C104A7"/>
    <w:rsid w:val="00C10D74"/>
    <w:rsid w:val="00C22AEB"/>
    <w:rsid w:val="00C237F0"/>
    <w:rsid w:val="00C24D61"/>
    <w:rsid w:val="00C310C4"/>
    <w:rsid w:val="00C32154"/>
    <w:rsid w:val="00C41F6B"/>
    <w:rsid w:val="00C4243A"/>
    <w:rsid w:val="00C5133B"/>
    <w:rsid w:val="00C53DF9"/>
    <w:rsid w:val="00C61118"/>
    <w:rsid w:val="00C73123"/>
    <w:rsid w:val="00C9570B"/>
    <w:rsid w:val="00CA2D63"/>
    <w:rsid w:val="00CC002B"/>
    <w:rsid w:val="00CC6DAE"/>
    <w:rsid w:val="00CD7DD5"/>
    <w:rsid w:val="00CE1271"/>
    <w:rsid w:val="00CE1D35"/>
    <w:rsid w:val="00D06773"/>
    <w:rsid w:val="00D25DFF"/>
    <w:rsid w:val="00D4095C"/>
    <w:rsid w:val="00D41DEE"/>
    <w:rsid w:val="00D4694C"/>
    <w:rsid w:val="00D63ECE"/>
    <w:rsid w:val="00D65BC2"/>
    <w:rsid w:val="00D77E80"/>
    <w:rsid w:val="00D809B0"/>
    <w:rsid w:val="00D90063"/>
    <w:rsid w:val="00D968FB"/>
    <w:rsid w:val="00DA40FF"/>
    <w:rsid w:val="00DA44D4"/>
    <w:rsid w:val="00DB0DE6"/>
    <w:rsid w:val="00DB47B6"/>
    <w:rsid w:val="00DB71B1"/>
    <w:rsid w:val="00DC289E"/>
    <w:rsid w:val="00DC572A"/>
    <w:rsid w:val="00DC643D"/>
    <w:rsid w:val="00DD4119"/>
    <w:rsid w:val="00DD63CA"/>
    <w:rsid w:val="00DD6B5A"/>
    <w:rsid w:val="00DE0052"/>
    <w:rsid w:val="00DE0D8C"/>
    <w:rsid w:val="00DF2A23"/>
    <w:rsid w:val="00E059FB"/>
    <w:rsid w:val="00E0608A"/>
    <w:rsid w:val="00E129ED"/>
    <w:rsid w:val="00E34ACC"/>
    <w:rsid w:val="00E34E70"/>
    <w:rsid w:val="00E416F7"/>
    <w:rsid w:val="00E43422"/>
    <w:rsid w:val="00E52189"/>
    <w:rsid w:val="00E5592F"/>
    <w:rsid w:val="00E819EC"/>
    <w:rsid w:val="00E82CE8"/>
    <w:rsid w:val="00E90DE5"/>
    <w:rsid w:val="00E92217"/>
    <w:rsid w:val="00E96571"/>
    <w:rsid w:val="00E97AB8"/>
    <w:rsid w:val="00EA1F96"/>
    <w:rsid w:val="00EA342C"/>
    <w:rsid w:val="00EC29DF"/>
    <w:rsid w:val="00EC326F"/>
    <w:rsid w:val="00EC35E2"/>
    <w:rsid w:val="00EC4C45"/>
    <w:rsid w:val="00EC784F"/>
    <w:rsid w:val="00EE0242"/>
    <w:rsid w:val="00EE40D5"/>
    <w:rsid w:val="00EE6836"/>
    <w:rsid w:val="00EF1F37"/>
    <w:rsid w:val="00EF5A9A"/>
    <w:rsid w:val="00EF6378"/>
    <w:rsid w:val="00F16B3A"/>
    <w:rsid w:val="00F2656B"/>
    <w:rsid w:val="00F266C3"/>
    <w:rsid w:val="00F3446D"/>
    <w:rsid w:val="00F40FE5"/>
    <w:rsid w:val="00F50F57"/>
    <w:rsid w:val="00F64E69"/>
    <w:rsid w:val="00F678F1"/>
    <w:rsid w:val="00F70AFB"/>
    <w:rsid w:val="00F83FCF"/>
    <w:rsid w:val="00FA26B9"/>
    <w:rsid w:val="00FB195F"/>
    <w:rsid w:val="00FB25CE"/>
    <w:rsid w:val="00FB6DA5"/>
    <w:rsid w:val="00FB7E47"/>
    <w:rsid w:val="00FC4FC5"/>
    <w:rsid w:val="00FC753E"/>
    <w:rsid w:val="00FD535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38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9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94C"/>
    <w:rPr>
      <w:color w:val="0000FF" w:themeColor="hyperlink"/>
      <w:u w:val="single"/>
    </w:rPr>
  </w:style>
  <w:style w:type="paragraph" w:styleId="FootnoteText">
    <w:name w:val="footnote text"/>
    <w:basedOn w:val="Normal"/>
    <w:link w:val="FootnoteTextChar"/>
    <w:uiPriority w:val="99"/>
    <w:unhideWhenUsed/>
    <w:rsid w:val="00D4694C"/>
    <w:pPr>
      <w:spacing w:after="0" w:line="240" w:lineRule="auto"/>
    </w:pPr>
    <w:rPr>
      <w:sz w:val="20"/>
      <w:szCs w:val="20"/>
    </w:rPr>
  </w:style>
  <w:style w:type="character" w:customStyle="1" w:styleId="FootnoteTextChar">
    <w:name w:val="Footnote Text Char"/>
    <w:basedOn w:val="DefaultParagraphFont"/>
    <w:link w:val="FootnoteText"/>
    <w:uiPriority w:val="99"/>
    <w:rsid w:val="00D4694C"/>
    <w:rPr>
      <w:sz w:val="20"/>
      <w:szCs w:val="20"/>
    </w:rPr>
  </w:style>
  <w:style w:type="character" w:styleId="FootnoteReference">
    <w:name w:val="footnote reference"/>
    <w:basedOn w:val="DefaultParagraphFont"/>
    <w:uiPriority w:val="99"/>
    <w:semiHidden/>
    <w:unhideWhenUsed/>
    <w:rsid w:val="00D4694C"/>
    <w:rPr>
      <w:vertAlign w:val="superscript"/>
    </w:rPr>
  </w:style>
  <w:style w:type="character" w:styleId="CommentReference">
    <w:name w:val="annotation reference"/>
    <w:basedOn w:val="DefaultParagraphFont"/>
    <w:uiPriority w:val="99"/>
    <w:semiHidden/>
    <w:unhideWhenUsed/>
    <w:rsid w:val="00D4694C"/>
    <w:rPr>
      <w:sz w:val="16"/>
      <w:szCs w:val="16"/>
    </w:rPr>
  </w:style>
  <w:style w:type="paragraph" w:styleId="CommentText">
    <w:name w:val="annotation text"/>
    <w:basedOn w:val="Normal"/>
    <w:link w:val="CommentTextChar"/>
    <w:uiPriority w:val="99"/>
    <w:semiHidden/>
    <w:unhideWhenUsed/>
    <w:rsid w:val="00D4694C"/>
    <w:pPr>
      <w:spacing w:line="240" w:lineRule="auto"/>
    </w:pPr>
    <w:rPr>
      <w:sz w:val="20"/>
      <w:szCs w:val="20"/>
    </w:rPr>
  </w:style>
  <w:style w:type="character" w:customStyle="1" w:styleId="CommentTextChar">
    <w:name w:val="Comment Text Char"/>
    <w:basedOn w:val="DefaultParagraphFont"/>
    <w:link w:val="CommentText"/>
    <w:uiPriority w:val="99"/>
    <w:semiHidden/>
    <w:rsid w:val="00D4694C"/>
    <w:rPr>
      <w:sz w:val="20"/>
      <w:szCs w:val="20"/>
    </w:rPr>
  </w:style>
  <w:style w:type="paragraph" w:styleId="BalloonText">
    <w:name w:val="Balloon Text"/>
    <w:basedOn w:val="Normal"/>
    <w:link w:val="BalloonTextChar"/>
    <w:uiPriority w:val="99"/>
    <w:semiHidden/>
    <w:unhideWhenUsed/>
    <w:rsid w:val="00D46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94C"/>
    <w:rPr>
      <w:rFonts w:ascii="Tahoma" w:hAnsi="Tahoma" w:cs="Tahoma"/>
      <w:sz w:val="16"/>
      <w:szCs w:val="16"/>
    </w:rPr>
  </w:style>
  <w:style w:type="paragraph" w:styleId="Header">
    <w:name w:val="header"/>
    <w:basedOn w:val="Normal"/>
    <w:link w:val="HeaderChar"/>
    <w:uiPriority w:val="99"/>
    <w:unhideWhenUsed/>
    <w:rsid w:val="007368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683B"/>
  </w:style>
  <w:style w:type="paragraph" w:styleId="Footer">
    <w:name w:val="footer"/>
    <w:basedOn w:val="Normal"/>
    <w:link w:val="FooterChar"/>
    <w:uiPriority w:val="99"/>
    <w:unhideWhenUsed/>
    <w:rsid w:val="007368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683B"/>
  </w:style>
  <w:style w:type="paragraph" w:styleId="CommentSubject">
    <w:name w:val="annotation subject"/>
    <w:basedOn w:val="CommentText"/>
    <w:next w:val="CommentText"/>
    <w:link w:val="CommentSubjectChar"/>
    <w:uiPriority w:val="99"/>
    <w:semiHidden/>
    <w:unhideWhenUsed/>
    <w:rsid w:val="00CE1271"/>
    <w:rPr>
      <w:b/>
      <w:bCs/>
    </w:rPr>
  </w:style>
  <w:style w:type="character" w:customStyle="1" w:styleId="CommentSubjectChar">
    <w:name w:val="Comment Subject Char"/>
    <w:basedOn w:val="CommentTextChar"/>
    <w:link w:val="CommentSubject"/>
    <w:uiPriority w:val="99"/>
    <w:semiHidden/>
    <w:rsid w:val="00CE1271"/>
    <w:rPr>
      <w:b/>
      <w:bCs/>
      <w:sz w:val="20"/>
      <w:szCs w:val="20"/>
    </w:rPr>
  </w:style>
  <w:style w:type="paragraph" w:styleId="Revision">
    <w:name w:val="Revision"/>
    <w:hidden/>
    <w:uiPriority w:val="99"/>
    <w:semiHidden/>
    <w:rsid w:val="00E52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7424">
      <w:bodyDiv w:val="1"/>
      <w:marLeft w:val="0"/>
      <w:marRight w:val="0"/>
      <w:marTop w:val="0"/>
      <w:marBottom w:val="0"/>
      <w:divBdr>
        <w:top w:val="none" w:sz="0" w:space="0" w:color="auto"/>
        <w:left w:val="none" w:sz="0" w:space="0" w:color="auto"/>
        <w:bottom w:val="none" w:sz="0" w:space="0" w:color="auto"/>
        <w:right w:val="none" w:sz="0" w:space="0" w:color="auto"/>
      </w:divBdr>
    </w:div>
    <w:div w:id="760637836">
      <w:bodyDiv w:val="1"/>
      <w:marLeft w:val="0"/>
      <w:marRight w:val="0"/>
      <w:marTop w:val="0"/>
      <w:marBottom w:val="0"/>
      <w:divBdr>
        <w:top w:val="none" w:sz="0" w:space="0" w:color="auto"/>
        <w:left w:val="none" w:sz="0" w:space="0" w:color="auto"/>
        <w:bottom w:val="none" w:sz="0" w:space="0" w:color="auto"/>
        <w:right w:val="none" w:sz="0" w:space="0" w:color="auto"/>
      </w:divBdr>
    </w:div>
    <w:div w:id="164149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tameka.romeo@maastrichtuniversity.n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orcid.org/0000-0002-5059-702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tameka.romeo@maastrichtuniversity.n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orcid.org/0000-0002-5059-702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dition.cnn.com/2008/CRIME/07/31/preacher.freezer/"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D9B35-9507-4C41-8182-4B8B990DD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20659</Words>
  <Characters>117760</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2018-04-13T13:24:00Z</dcterms:created>
  <dcterms:modified xsi:type="dcterms:W3CDTF">2018-04-17T10:11:00Z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4e13beea-06f4-3a87-90ef-98aa8dcc607b</vt:lpwstr>
  </property>
</Properties>
</file>