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MedWatch - Architecture Decision Records (Index)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4" w:name="architecture-decision-records-adr"/>
    <w:p>
      <w:pPr>
        <w:pStyle w:val="Heading1"/>
      </w:pPr>
      <w:r>
        <w:t xml:space="preserve">Architecture Decision Records (ADR)</w:t>
      </w:r>
    </w:p>
    <w:p>
      <w:pPr>
        <w:pStyle w:val="FirstParagraph"/>
      </w:pPr>
      <w:r>
        <w:t xml:space="preserve">Folder ini berisi ADR (Architecture Decision Records) yang mendokumentasikan</w:t>
      </w:r>
      <w:r>
        <w:t xml:space="preserve"> </w:t>
      </w:r>
      <w:r>
        <w:t xml:space="preserve">keputusan-keputusan arsitektur penting yang membentuk sistem MedWatch</w:t>
      </w:r>
      <w:r>
        <w:t xml:space="preserve"> </w:t>
      </w:r>
      <w:r>
        <w:t xml:space="preserve">sebagaimana yang dikirim (AS-BUILT, bukan SHOULD-BE) per 18 Mei 2026.</w:t>
      </w:r>
    </w:p>
    <w:bookmarkStart w:id="9" w:name="template"/>
    <w:p>
      <w:pPr>
        <w:pStyle w:val="Heading2"/>
      </w:pPr>
      <w:r>
        <w:t xml:space="preserve">Template</w:t>
      </w:r>
    </w:p>
    <w:p>
      <w:pPr>
        <w:pStyle w:val="FirstParagraph"/>
      </w:pPr>
      <w:r>
        <w:t xml:space="preserve">Setiap ADR menggunakan format</w:t>
      </w:r>
      <w:r>
        <w:t xml:space="preserve"> </w:t>
      </w:r>
      <w:r>
        <w:rPr>
          <w:b/>
          <w:bCs/>
        </w:rPr>
        <w:t xml:space="preserve">MADR 3.0</w:t>
      </w:r>
      <w:r>
        <w:t xml:space="preserve"> </w:t>
      </w:r>
      <w:r>
        <w:t xml:space="preserve">(Markdown Any Decision</w:t>
      </w:r>
      <w:r>
        <w:t xml:space="preserve"> </w:t>
      </w:r>
      <w:r>
        <w:t xml:space="preserve">Records), spesifikasi publik di https://adr.github.io/madr/ (Olaf</w:t>
      </w:r>
      <w:r>
        <w:t xml:space="preserve"> </w:t>
      </w:r>
      <w:r>
        <w:t xml:space="preserve">Zimmermann et al., 2023). Bagian baku per file:</w:t>
      </w:r>
    </w:p>
    <w:p>
      <w:pPr>
        <w:pStyle w:val="Compact"/>
        <w:numPr>
          <w:ilvl w:val="0"/>
          <w:numId w:val="1001"/>
        </w:numPr>
      </w:pPr>
      <w:r>
        <w:t xml:space="preserve">Judul (</w:t>
      </w:r>
      <w:r>
        <w:rPr>
          <w:rStyle w:val="VerbatimChar"/>
        </w:rPr>
        <w:t xml:space="preserve"># ADR-XXXX: Short Title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Status, Date, Deciders</w:t>
      </w:r>
    </w:p>
    <w:p>
      <w:pPr>
        <w:pStyle w:val="Compact"/>
        <w:numPr>
          <w:ilvl w:val="0"/>
          <w:numId w:val="1001"/>
        </w:numPr>
      </w:pPr>
      <w:r>
        <w:t xml:space="preserve">Context and Problem Statement</w:t>
      </w:r>
    </w:p>
    <w:p>
      <w:pPr>
        <w:pStyle w:val="Compact"/>
        <w:numPr>
          <w:ilvl w:val="0"/>
          <w:numId w:val="1001"/>
        </w:numPr>
      </w:pPr>
      <w:r>
        <w:t xml:space="preserve">Decision Drivers (bullet list)</w:t>
      </w:r>
    </w:p>
    <w:p>
      <w:pPr>
        <w:pStyle w:val="Compact"/>
        <w:numPr>
          <w:ilvl w:val="0"/>
          <w:numId w:val="1001"/>
        </w:numPr>
      </w:pPr>
      <w:r>
        <w:t xml:space="preserve">Considered Options (bullet list)</w:t>
      </w:r>
    </w:p>
    <w:p>
      <w:pPr>
        <w:pStyle w:val="Compact"/>
        <w:numPr>
          <w:ilvl w:val="0"/>
          <w:numId w:val="1001"/>
        </w:numPr>
      </w:pPr>
      <w:r>
        <w:t xml:space="preserve">Decision Outcome (chosen option + justification)</w:t>
      </w:r>
    </w:p>
    <w:p>
      <w:pPr>
        <w:pStyle w:val="Compact"/>
        <w:numPr>
          <w:ilvl w:val="0"/>
          <w:numId w:val="1001"/>
        </w:numPr>
      </w:pPr>
      <w:r>
        <w:t xml:space="preserve">Consequences (Good / Bad)</w:t>
      </w:r>
    </w:p>
    <w:p>
      <w:pPr>
        <w:pStyle w:val="Compact"/>
        <w:numPr>
          <w:ilvl w:val="0"/>
          <w:numId w:val="1001"/>
        </w:numPr>
      </w:pPr>
      <w:r>
        <w:t xml:space="preserve">Confirmation (cara verifikasi keputusan bekerja, sertai</w:t>
      </w:r>
      <w:r>
        <w:t xml:space="preserve"> </w:t>
      </w:r>
      <w:r>
        <w:rPr>
          <w:rStyle w:val="VerbatimChar"/>
        </w:rPr>
        <w:t xml:space="preserve">file:line</w:t>
      </w:r>
      <w:r>
        <w:t xml:space="preserve"> </w:t>
      </w:r>
      <w:r>
        <w:t xml:space="preserve">untuk klaim kode)</w:t>
      </w:r>
    </w:p>
    <w:p>
      <w:pPr>
        <w:pStyle w:val="Compact"/>
        <w:numPr>
          <w:ilvl w:val="0"/>
          <w:numId w:val="1001"/>
        </w:numPr>
      </w:pPr>
      <w:r>
        <w:t xml:space="preserve">More Information (link, file paths, ADR terkait)</w:t>
      </w:r>
    </w:p>
    <w:p>
      <w:pPr>
        <w:pStyle w:val="FirstParagraph"/>
      </w:pPr>
      <w:r>
        <w:t xml:space="preserve">Standar referensi untuk decision records di industri: MADR (utama),</w:t>
      </w:r>
      <w:r>
        <w:t xml:space="preserve"> </w:t>
      </w:r>
      <w:r>
        <w:t xml:space="preserve">Nygard</w:t>
      </w:r>
      <w:r>
        <w:t xml:space="preserve"> </w:t>
      </w:r>
      <w:r>
        <w:t xml:space="preserve">“Documenting Architecture Decisions”</w:t>
      </w:r>
      <w:r>
        <w:t xml:space="preserve"> </w:t>
      </w:r>
      <w:r>
        <w:t xml:space="preserve">(2011) untuk historis,</w:t>
      </w:r>
      <w:r>
        <w:t xml:space="preserve"> </w:t>
      </w:r>
      <w:r>
        <w:t xml:space="preserve">dan IETF RFC 7322 untuk gaya tulisan.</w:t>
      </w:r>
    </w:p>
    <w:bookmarkEnd w:id="9"/>
    <w:bookmarkStart w:id="20" w:name="daftar-adr"/>
    <w:p>
      <w:pPr>
        <w:pStyle w:val="Heading2"/>
      </w:pPr>
      <w:r>
        <w:t xml:space="preserve">Daftar ADR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Judul singkat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ADR-0001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Vercel Next.js + Cloud Run Flask dengan security pattern B (server-side proxy)</w:t>
            </w:r>
          </w:p>
        </w:tc>
        <w:tc>
          <w:tcPr/>
          <w:p>
            <w:pPr>
              <w:pStyle w:val="Compact"/>
            </w:pPr>
            <w:r>
              <w:t xml:space="preserve">accepted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ADR-0002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JWT HS256 + bcrypt cost 12 + httpOnly cookie untuk autentikasi</w:t>
            </w:r>
          </w:p>
        </w:tc>
        <w:tc>
          <w:tcPr/>
          <w:p>
            <w:pPr>
              <w:pStyle w:val="Compact"/>
            </w:pPr>
            <w:r>
              <w:t xml:space="preserve">accepted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ADR-0003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Skema Pasien SOAP dikanonisasi ke format anggota2 (Bimo)</w:t>
            </w:r>
          </w:p>
        </w:tc>
        <w:tc>
          <w:tcPr/>
          <w:p>
            <w:pPr>
              <w:pStyle w:val="Compact"/>
            </w:pPr>
            <w:r>
              <w:t xml:space="preserve">accepted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ADR-0004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Pivot dari drugs.com (Akamai HTTP 403) ke openFDA REST API</w:t>
            </w:r>
          </w:p>
        </w:tc>
        <w:tc>
          <w:tcPr/>
          <w:p>
            <w:pPr>
              <w:pStyle w:val="Compact"/>
            </w:pPr>
            <w:r>
              <w:t xml:space="preserve">accepted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ADR-0005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anggota3/NewestVisualization/ sebagai modul aditif untuk Alia</w:t>
            </w:r>
          </w:p>
        </w:tc>
        <w:tc>
          <w:tcPr/>
          <w:p>
            <w:pPr>
              <w:pStyle w:val="Compact"/>
            </w:pPr>
            <w:r>
              <w:t xml:space="preserve">accepted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ADR-0006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Heatmap memakai skala warna kontinu d3 dengan risk matrix 5 stop</w:t>
            </w:r>
          </w:p>
        </w:tc>
        <w:tc>
          <w:tcPr/>
          <w:p>
            <w:pPr>
              <w:pStyle w:val="Compact"/>
            </w:pPr>
            <w:r>
              <w:t xml:space="preserve">accepted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ADR-0007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Daftar pasien diurutkan newest-first dengan parser DD-MM-YYYY dan tiebreak id descending</w:t>
            </w:r>
          </w:p>
        </w:tc>
        <w:tc>
          <w:tcPr/>
          <w:p>
            <w:pPr>
              <w:pStyle w:val="Compact"/>
            </w:pPr>
            <w:r>
              <w:t xml:space="preserve">accepted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ADR-0008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Endpoint PDF efek-samping dan inventaris di-implementasi in-process dengan fpdf2 di api/</w:t>
            </w:r>
          </w:p>
        </w:tc>
        <w:tc>
          <w:tcPr/>
          <w:p>
            <w:pPr>
              <w:pStyle w:val="Compact"/>
            </w:pPr>
            <w:r>
              <w:t xml:space="preserve">accepted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ADR-0009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Validasi field medical numerik di client dan server dengan composite parser untuk tekanan_darah</w:t>
            </w:r>
          </w:p>
        </w:tc>
        <w:tc>
          <w:tcPr/>
          <w:p>
            <w:pPr>
              <w:pStyle w:val="Compact"/>
            </w:pPr>
            <w:r>
              <w:t xml:space="preserve">accepted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ADR-0010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Submit login membaca username dan password dari FormData untuk mencegah autofill race</w:t>
            </w:r>
          </w:p>
        </w:tc>
        <w:tc>
          <w:tcPr/>
          <w:p>
            <w:pPr>
              <w:pStyle w:val="Compact"/>
            </w:pPr>
            <w:r>
              <w:t xml:space="preserve">accepted</w:t>
            </w:r>
          </w:p>
        </w:tc>
      </w:tr>
    </w:tbl>
    <w:bookmarkEnd w:id="20"/>
    <w:bookmarkStart w:id="21" w:name="konvensi-penomoran-dan-status"/>
    <w:p>
      <w:pPr>
        <w:pStyle w:val="Heading2"/>
      </w:pPr>
      <w:r>
        <w:t xml:space="preserve">Konvensi penomoran dan status</w:t>
      </w:r>
    </w:p>
    <w:p>
      <w:pPr>
        <w:pStyle w:val="Compact"/>
        <w:numPr>
          <w:ilvl w:val="0"/>
          <w:numId w:val="1002"/>
        </w:numPr>
      </w:pPr>
      <w:r>
        <w:t xml:space="preserve">Nomor monotonik 4 digit, tidak pernah didaur ulang.</w:t>
      </w:r>
    </w:p>
    <w:p>
      <w:pPr>
        <w:pStyle w:val="Compact"/>
        <w:numPr>
          <w:ilvl w:val="0"/>
          <w:numId w:val="1002"/>
        </w:numPr>
      </w:pPr>
      <w:r>
        <w:t xml:space="preserve">Status valid:</w:t>
      </w:r>
      <w:r>
        <w:t xml:space="preserve"> </w:t>
      </w:r>
      <w:r>
        <w:rPr>
          <w:rStyle w:val="VerbatimChar"/>
        </w:rPr>
        <w:t xml:space="preserve">proposed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accepted</w:t>
      </w:r>
      <w:r>
        <w:t xml:space="preserve">,</w:t>
      </w:r>
      <w:r>
        <w:t xml:space="preserve"> </w:t>
      </w:r>
      <w:r>
        <w:rPr>
          <w:rStyle w:val="VerbatimChar"/>
        </w:rPr>
        <w:t xml:space="preserve">deprecated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superseded by ADR-YYYY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ADR yang sudah landed (kode sudah merge ke main) ditandai</w:t>
      </w:r>
      <w:r>
        <w:t xml:space="preserve"> </w:t>
      </w:r>
      <w:r>
        <w:rPr>
          <w:rStyle w:val="VerbatimChar"/>
        </w:rPr>
        <w:t xml:space="preserve">accepted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ADR yang digantikan oleh ADR lain tetap di-checkin, statusnya berubah</w:t>
      </w:r>
      <w:r>
        <w:t xml:space="preserve"> </w:t>
      </w:r>
      <w:r>
        <w:t xml:space="preserve">menjadi</w:t>
      </w:r>
      <w:r>
        <w:t xml:space="preserve"> </w:t>
      </w:r>
      <w:r>
        <w:rPr>
          <w:rStyle w:val="VerbatimChar"/>
        </w:rPr>
        <w:t xml:space="preserve">superseded by ADR-YYYY</w:t>
      </w:r>
      <w:r>
        <w:t xml:space="preserve"> </w:t>
      </w:r>
      <w:r>
        <w:t xml:space="preserve">dan memuat ringkasan alasan</w:t>
      </w:r>
      <w:r>
        <w:t xml:space="preserve"> </w:t>
      </w:r>
      <w:r>
        <w:t xml:space="preserve">supersession.</w:t>
      </w:r>
    </w:p>
    <w:bookmarkEnd w:id="21"/>
    <w:bookmarkStart w:id="22" w:name="cross-reference"/>
    <w:p>
      <w:pPr>
        <w:pStyle w:val="Heading2"/>
      </w:pPr>
      <w:r>
        <w:t xml:space="preserve">Cross-reference</w:t>
      </w:r>
    </w:p>
    <w:p>
      <w:pPr>
        <w:pStyle w:val="FirstParagraph"/>
      </w:pPr>
      <w:r>
        <w:t xml:space="preserve">ADR-0001 dan ADR-0002 saling melengkapi (security pattern + JWT</w:t>
      </w:r>
      <w:r>
        <w:t xml:space="preserve"> </w:t>
      </w:r>
      <w:r>
        <w:t xml:space="preserve">cookie). ADR-0003 menjadi landasan ADR-0007 (parser dan tiebreak)</w:t>
      </w:r>
      <w:r>
        <w:t xml:space="preserve"> </w:t>
      </w:r>
      <w:r>
        <w:t xml:space="preserve">dan ADR-0009 (validasi field). ADR-0004 menjadi landasan ADR-0005</w:t>
      </w:r>
      <w:r>
        <w:t xml:space="preserve"> </w:t>
      </w:r>
      <w:r>
        <w:t xml:space="preserve">(modul visualisasi yang mengkonsumsi data hasil pivot). ADR-0006</w:t>
      </w:r>
      <w:r>
        <w:t xml:space="preserve"> </w:t>
      </w:r>
      <w:r>
        <w:t xml:space="preserve">mereferensikan palet keparahan yang dipakai oleh ADR-0005.</w:t>
      </w:r>
    </w:p>
    <w:bookmarkEnd w:id="22"/>
    <w:bookmarkStart w:id="23" w:name="tracking-link"/>
    <w:p>
      <w:pPr>
        <w:pStyle w:val="Heading2"/>
      </w:pPr>
      <w:r>
        <w:t xml:space="preserve">Tracking link</w:t>
      </w:r>
    </w:p>
    <w:p>
      <w:pPr>
        <w:pStyle w:val="Compact"/>
        <w:numPr>
          <w:ilvl w:val="0"/>
          <w:numId w:val="1003"/>
        </w:numPr>
      </w:pPr>
      <w:r>
        <w:t xml:space="preserve">Standar dokumentasi keseluruhan dikutip di</w:t>
      </w:r>
      <w:r>
        <w:t xml:space="preserve"> </w:t>
      </w:r>
      <w:r>
        <w:rPr>
          <w:rStyle w:val="VerbatimChar"/>
        </w:rPr>
        <w:t xml:space="preserve">~/Documents/FrontendMedWatch/.mission/waves/wave-02-plan.md</w:t>
      </w:r>
      <w:r>
        <w:t xml:space="preserve"> </w:t>
      </w:r>
      <w:r>
        <w:t xml:space="preserve">section</w:t>
      </w:r>
      <w:r>
        <w:t xml:space="preserve"> </w:t>
      </w:r>
      <w:r>
        <w:t xml:space="preserve">“Standards to cite (by number)”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Wave plan terkait: W2-D04 (ADRs) dalam wave-02-plan.md.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0001-vercel-cloud-run-security-pattern.md" TargetMode="External" /><Relationship Type="http://schemas.openxmlformats.org/officeDocument/2006/relationships/hyperlink" Id="rId11" Target="0002-jwt-bcrypt-httponly.md" TargetMode="External" /><Relationship Type="http://schemas.openxmlformats.org/officeDocument/2006/relationships/hyperlink" Id="rId12" Target="0003-pasien-soap-schema-canonicalization.md" TargetMode="External" /><Relationship Type="http://schemas.openxmlformats.org/officeDocument/2006/relationships/hyperlink" Id="rId13" Target="0004-drugs-com-akamai-to-openfda-pivot.md" TargetMode="External" /><Relationship Type="http://schemas.openxmlformats.org/officeDocument/2006/relationships/hyperlink" Id="rId14" Target="0005-anggota3-newest-visualization-additive.md" TargetMode="External" /><Relationship Type="http://schemas.openxmlformats.org/officeDocument/2006/relationships/hyperlink" Id="rId15" Target="0006-heatmap-continuous-color-scale.md" TargetMode="External" /><Relationship Type="http://schemas.openxmlformats.org/officeDocument/2006/relationships/hyperlink" Id="rId16" Target="0007-patient-list-sort-newest-first.md" TargetMode="External" /><Relationship Type="http://schemas.openxmlformats.org/officeDocument/2006/relationships/hyperlink" Id="rId17" Target="0008-pdf-endpoints-in-process-fpdf2.md" TargetMode="External" /><Relationship Type="http://schemas.openxmlformats.org/officeDocument/2006/relationships/hyperlink" Id="rId18" Target="0009-numeric-medical-field-validation.md" TargetMode="External" /><Relationship Type="http://schemas.openxmlformats.org/officeDocument/2006/relationships/hyperlink" Id="rId19" Target="0010-formdata-login-submit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0001-vercel-cloud-run-security-pattern.md" TargetMode="External" /><Relationship Type="http://schemas.openxmlformats.org/officeDocument/2006/relationships/hyperlink" Id="rId11" Target="0002-jwt-bcrypt-httponly.md" TargetMode="External" /><Relationship Type="http://schemas.openxmlformats.org/officeDocument/2006/relationships/hyperlink" Id="rId12" Target="0003-pasien-soap-schema-canonicalization.md" TargetMode="External" /><Relationship Type="http://schemas.openxmlformats.org/officeDocument/2006/relationships/hyperlink" Id="rId13" Target="0004-drugs-com-akamai-to-openfda-pivot.md" TargetMode="External" /><Relationship Type="http://schemas.openxmlformats.org/officeDocument/2006/relationships/hyperlink" Id="rId14" Target="0005-anggota3-newest-visualization-additive.md" TargetMode="External" /><Relationship Type="http://schemas.openxmlformats.org/officeDocument/2006/relationships/hyperlink" Id="rId15" Target="0006-heatmap-continuous-color-scale.md" TargetMode="External" /><Relationship Type="http://schemas.openxmlformats.org/officeDocument/2006/relationships/hyperlink" Id="rId16" Target="0007-patient-list-sort-newest-first.md" TargetMode="External" /><Relationship Type="http://schemas.openxmlformats.org/officeDocument/2006/relationships/hyperlink" Id="rId17" Target="0008-pdf-endpoints-in-process-fpdf2.md" TargetMode="External" /><Relationship Type="http://schemas.openxmlformats.org/officeDocument/2006/relationships/hyperlink" Id="rId18" Target="0009-numeric-medical-field-validation.md" TargetMode="External" /><Relationship Type="http://schemas.openxmlformats.org/officeDocument/2006/relationships/hyperlink" Id="rId19" Target="0010-formdata-login-submit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MedWatch - Architecture Decision Records (Index)</dc:title>
  <dc:creator/>
  <cp:keywords/>
  <dcterms:created xsi:type="dcterms:W3CDTF">2026-05-18T08:57:56Z</dcterms:created>
  <dcterms:modified xsi:type="dcterms:W3CDTF">2026-05-18T08:57:56Z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