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92"/>
            </w:pPr>
          </w:p>
          <w:p>
            <w:pPr>
              <w:pBdr>
                <w:bottom w:val="single" w:color="37DCF2" w:sz="6" w:space="8"/>
              </w:pBdr>
              <w:spacing w:after="500"/>
              <w:ind w:left="1200" w:right="800"/>
            </w:pPr>
            <w:r>
              <w:rPr>
                <w:rFonts w:ascii="Calibri"/>
                <w:color w:val="37DCF2"/>
                <w:spacing w:val="40"/>
                <w:sz w:val="18"/>
                <w:szCs w:val="18"/>
              </w:rPr>
              <w:t xml:space="preserve">P  R  O  J  E  C  T     D  O  C  U  M  E  N  T  A  T  I  O  N</w:t>
            </w:r>
          </w:p>
          <w:p>
            <w:pPr>
              <w:spacing w:after="100" w:line="920" w:lineRule="atLeast"/>
              <w:ind w:left="1200"/>
            </w:pPr>
            <w:r>
              <w:rPr>
                <w:rFonts w:ascii="Arial" w:eastAsia="Arial"/>
                <w:b/>
                <w:bCs/>
                <w:color w:val="FFFFFF"/>
                <w:sz w:val="80"/>
                <w:szCs w:val="80"/>
              </w:rPr>
              <w:t xml:space="preserve">MasalaMart — Agentic</w:t>
            </w:r>
          </w:p>
          <w:p>
            <w:pPr>
              <w:spacing w:after="300" w:line="920" w:lineRule="atLeast"/>
              <w:ind w:left="1200"/>
            </w:pPr>
            <w:r>
              <w:rPr>
                <w:rFonts w:ascii="Arial" w:eastAsia="Arial"/>
                <w:b/>
                <w:bCs/>
                <w:color w:val="FFFFFF"/>
                <w:sz w:val="80"/>
                <w:szCs w:val="80"/>
              </w:rPr>
              <w:t xml:space="preserve">Storefront</w:t>
            </w:r>
          </w:p>
          <w:p>
            <w:pPr>
              <w:spacing w:after="800"/>
              <w:ind w:left="1200"/>
            </w:pPr>
            <w:r>
              <w:rPr>
                <w:rFonts w:ascii="Arial"/>
                <w:color w:val="B0B8C0"/>
                <w:sz w:val="24"/>
                <w:szCs w:val="24"/>
              </w:rPr>
              <w:t xml:space="preserve">Razorpay AI Buildathon · Track 01 — AI Growth &amp; Agentic Commerce</w:t>
            </w:r>
          </w:p>
          <w:p>
            <w:pPr>
              <w:pBdr>
                <w:left w:val="single" w:color="37DCF2" w:sz="8" w:space="12"/>
              </w:pBdr>
              <w:spacing w:after="80"/>
              <w:ind w:left="1400"/>
            </w:pPr>
            <w:r>
              <w:rPr>
                <w:rFonts w:ascii="Arial"/>
                <w:color w:val="90989F"/>
                <w:sz w:val="24"/>
                <w:szCs w:val="24"/>
              </w:rPr>
              <w:t xml:space="preserve">Author: Biswajit Sahoo</w:t>
            </w:r>
          </w:p>
          <w:p>
            <w:pPr>
              <w:pBdr>
                <w:left w:val="single" w:color="37DCF2" w:sz="8" w:space="12"/>
              </w:pBdr>
              <w:spacing w:after="80"/>
              <w:ind w:left="1400"/>
            </w:pPr>
            <w:r>
              <w:rPr>
                <w:rFonts w:ascii="Arial"/>
                <w:color w:val="90989F"/>
                <w:sz w:val="24"/>
                <w:szCs w:val="24"/>
              </w:rPr>
              <w:t xml:space="preserve">Repository: github.com/Biswajit-Sahoo-13/RazorPay-Buildathon</w:t>
            </w:r>
          </w:p>
          <w:p>
            <w:pPr>
              <w:pBdr>
                <w:left w:val="single" w:color="37DCF2" w:sz="8" w:space="12"/>
              </w:pBdr>
              <w:spacing w:after="80"/>
              <w:ind w:left="1400"/>
            </w:pPr>
            <w:r>
              <w:rPr>
                <w:rFonts w:ascii="Arial"/>
                <w:color w:val="90989F"/>
                <w:sz w:val="24"/>
                <w:szCs w:val="24"/>
              </w:rPr>
              <w:t xml:space="preserve">Stack: React 19 · Node.js (zero-dependency server) · Razorpay test-mode APIs</w:t>
            </w:r>
          </w:p>
          <w:p>
            <w:pPr>
              <w:pBdr>
                <w:left w:val="single" w:color="37DCF2" w:sz="8" w:space="12"/>
              </w:pBdr>
              <w:spacing w:after="80"/>
              <w:ind w:left="1400"/>
            </w:pPr>
            <w:r>
              <w:rPr>
                <w:rFonts w:ascii="Arial"/>
                <w:color w:val="90989F"/>
                <w:sz w:val="24"/>
                <w:szCs w:val="24"/>
              </w:rPr>
              <w:t xml:space="preserve">Date: August 30, 2026</w:t>
            </w:r>
          </w:p>
          <w:p>
            <w:pPr>
              <w:spacing w:before="4092"/>
            </w:pPr>
          </w:p>
          <w:p>
            <w:pPr>
              <w:pBdr>
                <w:top w:val="single" w:color="37DCF2" w:sz="2" w:space="8"/>
              </w:pBdr>
              <w:spacing w:before="200"/>
              <w:ind w:left="1200" w:right="800"/>
            </w:pPr>
            <w:r>
              <w:rPr>
                <w:rFonts w:ascii="Arial"/>
                <w:color w:val="687078"/>
                <w:sz w:val="16"/>
                <w:szCs w:val="16"/>
              </w:rPr>
              <w:t xml:space="preserve">MasalaMart Buildathon Submission</w:t>
            </w:r>
            <w:r>
              <w:t xml:space="preserve">                                        </w:t>
            </w:r>
            <w:r>
              <w:rPr>
                <w:rFonts w:ascii="Arial"/>
                <w:color w:val="687078"/>
                <w:sz w:val="16"/>
                <w:szCs w:val="16"/>
              </w:rPr>
              <w:t xml:space="preserve">August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0A1628"/>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and Opportunity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What the Product Does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The growth agent (selling for the merchant)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Transactable by AI buyers (the merchant as an API)</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The confirmation gate</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The Bar, as Architecture</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5. System Architecture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6. Technology Stack and Key Design Decisions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7. API Reference</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8. Running and Demoing</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8.1 Quick start</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8.2 The 90-second judge demo</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9. Testing and Verification</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10. Conclusion and Roadmap</w:t>
            </w:r>
            <w:r>
              <w:tab/>
            </w:r>
            <w:r>
              <w:fldChar w:fldCharType="begin"/>
            </w:r>
            <w:r>
              <w:instrText xml:space="preserve"> PAGEREF _Toc100014 \h </w:instrText>
            </w:r>
            <w:r>
              <w:fldChar w:fldCharType="separate"/>
            </w:r>
            <w:r>
              <w:t>8</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Times New Roman"/>
          <w:b/>
          <w:bCs/>
          <w:color w:val="0A1628"/>
          <w:sz w:val="32"/>
          <w:szCs w:val="32"/>
        </w:rPr>
        <w:t xml:space="preserve">1. Executive Summary</w:t>
      </w:r>
      <w:bookmarkEnd w:id="100000"/>
    </w:p>
    <w:p>
      <w:pPr>
        <w:spacing w:after="120" w:line="312"/>
        <w:jc w:val="both"/>
      </w:pPr>
      <w:r>
        <w:rPr>
          <w:rFonts w:ascii="Times New Roman" w:eastAsia="Times New Roman"/>
          <w:color w:val="000000"/>
          <w:sz w:val="24"/>
          <w:szCs w:val="24"/>
        </w:rPr>
        <w:t xml:space="preserve">MasalaMart is an agentic storefront built for the Razorpay AI Buildathon, Track 01 — AI Growth &amp; Agentic Commerce. It is a complete, working system in which an AI agent sells for a merchant on Razorpay-compatible payment APIs, and the merchant itself becomes transactable by external AI buyers. The project demonstrates both halves of the track brief: an agent that grows merchant revenue (cross-sell and free-shipping recommendations, policy-bounded coupons, and a cart-recovery campaign), and an agent-readable commerce surface (a machine-consumable catalog feed and agent-readable receipts).</w:t>
      </w:r>
    </w:p>
    <w:p>
      <w:pPr>
        <w:spacing w:after="120" w:line="312"/>
        <w:jc w:val="both"/>
      </w:pPr>
      <w:r>
        <w:rPr>
          <w:rFonts w:ascii="Times New Roman" w:eastAsia="Times New Roman"/>
          <w:color w:val="000000"/>
          <w:sz w:val="24"/>
          <w:szCs w:val="24"/>
        </w:rPr>
        <w:t xml:space="preserve">The submission's central claim is that the track's bar — every money action explainable, bounded and gated, with a visible audit trail and one failure handled gracefully — is not a UX coat of paint but an architectural property. A server-side bounds engine mediates every state change; a structural confirmation gate makes it impossible for the agent to move money without an explicit human gesture; a hash-chained, tamper-evident audit ledger records every action including refusals; and two scripted failure scenarios (a declined payment and an out-of-stock item discovered at checkout) are handled honestly with recovery paths.</w:t>
      </w:r>
    </w:p>
    <w:p>
      <w:pPr>
        <w:spacing w:after="120" w:line="312"/>
        <w:jc w:val="both"/>
      </w:pPr>
      <w:r>
        <w:rPr>
          <w:rFonts w:ascii="Times New Roman" w:eastAsia="Times New Roman"/>
          <w:color w:val="000000"/>
          <w:sz w:val="24"/>
          <w:szCs w:val="24"/>
        </w:rPr>
        <w:t xml:space="preserve">The system runs with zero npm dependencies on the server side, works fully offline against a built-in mock gateway that mirrors Razorpay's order lifecycle and signature-verification contract, and switches to real Razorpay test-mode API keys by configuration alone. The frontend is a React 19 single-page application styled with a premium fintech design system. The repository includes 30 automated unit and end-to-end tests, a 17-check HTTP smoke suite, and a scripted 90-second judge demo.</w:t>
      </w:r>
    </w:p>
    <w:p>
      <w:pPr>
        <w:pStyle w:val="Heading1"/>
        <w:spacing w:after="160" w:before="360" w:line="312"/>
      </w:pPr>
      <w:bookmarkStart w:id="100001" w:name="_Toc100001"/>
      <w:r>
        <w:rPr>
          <w:rFonts w:ascii="Times New Roman" w:eastAsia="Times New Roman"/>
          <w:b/>
          <w:bCs/>
          <w:color w:val="0A1628"/>
          <w:sz w:val="32"/>
          <w:szCs w:val="32"/>
        </w:rPr>
        <w:t xml:space="preserve">2. Problem and Opportunity</w:t>
      </w:r>
      <w:bookmarkEnd w:id="100001"/>
    </w:p>
    <w:p>
      <w:pPr>
        <w:spacing w:after="120" w:line="312"/>
        <w:jc w:val="both"/>
      </w:pPr>
      <w:r>
        <w:rPr>
          <w:rFonts w:ascii="Times New Roman" w:eastAsia="Times New Roman"/>
          <w:color w:val="000000"/>
          <w:sz w:val="24"/>
          <w:szCs w:val="24"/>
        </w:rPr>
        <w:t xml:space="preserve">Track 01 frames the open problem of the year: agentic commerce. NPCI's UAP initiative in India and the global protocol race — ACP, AP2 and x402 — are converging on a future where software agents, not humans, initiate a large share of transactions. Razorpay already operates live in-app agentic pilots, which makes the track a rare chance to build against a real rails provider rather than a simulation.</w:t>
      </w:r>
    </w:p>
    <w:p>
      <w:pPr>
        <w:spacing w:after="120" w:line="312"/>
        <w:jc w:val="both"/>
      </w:pPr>
      <w:r>
        <w:rPr>
          <w:rFonts w:ascii="Times New Roman" w:eastAsia="Times New Roman"/>
          <w:color w:val="000000"/>
          <w:sz w:val="24"/>
          <w:szCs w:val="24"/>
        </w:rPr>
        <w:t xml:space="preserve">Two gaps motivate this project. First, growth: existing storefronts are optimised for human browsing, so an in-app agent that could genuinely lift revenue — relevant cross-sell, basket-building nudges, timely recovery offers — has no clean surface to act on. Second, trust: if an agent is going to touch money, every one of its actions must be explainable to the merchant and the buyer, strictly bounded by policy, and gated behind explicit human confirmation. Most demos in this space optimise for the happy path and hand-wave the control plane. This project inverts that: the control plane is the product.</w:t>
      </w:r>
    </w:p>
    <w:p>
      <w:pPr>
        <w:pStyle w:val="Heading1"/>
        <w:spacing w:after="160" w:before="360" w:line="312"/>
      </w:pPr>
      <w:bookmarkStart w:id="100002" w:name="_Toc100002"/>
      <w:r>
        <w:rPr>
          <w:rFonts w:ascii="Times New Roman" w:eastAsia="Times New Roman"/>
          <w:b/>
          <w:bCs/>
          <w:color w:val="0A1628"/>
          <w:sz w:val="32"/>
          <w:szCs w:val="32"/>
        </w:rPr>
        <w:t xml:space="preserve">3. What the Product Does</w:t>
      </w:r>
      <w:bookmarkEnd w:id="100002"/>
    </w:p>
    <w:p>
      <w:pPr>
        <w:pStyle w:val="Heading2"/>
        <w:spacing w:after="120" w:before="240" w:line="312"/>
      </w:pPr>
      <w:bookmarkStart w:id="100003" w:name="_Toc100003"/>
      <w:r>
        <w:rPr>
          <w:rFonts w:ascii="Times New Roman" w:eastAsia="Times New Roman"/>
          <w:b/>
          <w:bCs/>
          <w:color w:val="0A1628"/>
          <w:sz w:val="28"/>
          <w:szCs w:val="28"/>
        </w:rPr>
        <w:t xml:space="preserve">3.1 The growth agent (selling for the merchant)</w:t>
      </w:r>
      <w:bookmarkEnd w:id="100003"/>
    </w:p>
    <w:p>
      <w:pPr>
        <w:pStyle w:val="ListParagraph"/>
        <w:numPr>
          <w:ilvl w:val="0"/>
          <w:numId w:val="1"/>
        </w:numPr>
        <w:spacing w:after="80" w:line="312"/>
      </w:pPr>
      <w:r>
        <w:rPr>
          <w:rFonts w:ascii="Times New Roman" w:eastAsia="Times New Roman"/>
          <w:b/>
          <w:bCs/>
          <w:color w:val="000000"/>
          <w:sz w:val="24"/>
          <w:szCs w:val="24"/>
        </w:rPr>
        <w:t xml:space="preserve">Cross-sell agent.</w:t>
      </w:r>
      <w:r>
        <w:rPr>
          <w:rFonts w:ascii="Times New Roman" w:eastAsia="Times New Roman"/>
          <w:color w:val="000000"/>
          <w:sz w:val="24"/>
          <w:szCs w:val="24"/>
        </w:rPr>
        <w:t xml:space="preserve"> Every add-to-cart triggers bounded recommendations drawn from the catalog's complements graph (chai pairs with cookies and honey), each carrying a stated rule and a hard cap of two proposals per turn.</w:t>
      </w:r>
    </w:p>
    <w:p>
      <w:pPr>
        <w:pStyle w:val="ListParagraph"/>
        <w:numPr>
          <w:ilvl w:val="0"/>
          <w:numId w:val="1"/>
        </w:numPr>
        <w:spacing w:after="80" w:line="312"/>
      </w:pPr>
      <w:r>
        <w:rPr>
          <w:rFonts w:ascii="Times New Roman" w:eastAsia="Times New Roman"/>
          <w:b/>
          <w:bCs/>
          <w:color w:val="000000"/>
          <w:sz w:val="24"/>
          <w:szCs w:val="24"/>
        </w:rPr>
        <w:t xml:space="preserve">Free-shipping nudge.</w:t>
      </w:r>
      <w:r>
        <w:rPr>
          <w:rFonts w:ascii="Times New Roman" w:eastAsia="Times New Roman"/>
          <w:color w:val="000000"/>
          <w:sz w:val="24"/>
          <w:szCs w:val="24"/>
        </w:rPr>
        <w:t xml:space="preserve"> When a cart sits within a threshold of the free-shipping minimum, the agent proposes the cheapest item that unlocks it — an average-order-value lift with an honest justification.</w:t>
      </w:r>
    </w:p>
    <w:p>
      <w:pPr>
        <w:pStyle w:val="ListParagraph"/>
        <w:numPr>
          <w:ilvl w:val="0"/>
          <w:numId w:val="1"/>
        </w:numPr>
        <w:spacing w:after="80" w:line="312"/>
      </w:pPr>
      <w:r>
        <w:rPr>
          <w:rFonts w:ascii="Times New Roman" w:eastAsia="Times New Roman"/>
          <w:b/>
          <w:bCs/>
          <w:color w:val="000000"/>
          <w:sz w:val="24"/>
          <w:szCs w:val="24"/>
        </w:rPr>
        <w:t xml:space="preserve">Cart-recovery campaign.</w:t>
      </w:r>
      <w:r>
        <w:rPr>
          <w:rFonts w:ascii="Times New Roman" w:eastAsia="Times New Roman"/>
          <w:color w:val="000000"/>
          <w:sz w:val="24"/>
          <w:szCs w:val="24"/>
        </w:rPr>
        <w:t xml:space="preserve"> A campaign endpoint finds carts idle beyond a threshold and issues a comeback coupon, at most once per session, with the targeting decision written to the audit ledger.</w:t>
      </w:r>
    </w:p>
    <w:p>
      <w:pPr>
        <w:pStyle w:val="ListParagraph"/>
        <w:numPr>
          <w:ilvl w:val="0"/>
          <w:numId w:val="1"/>
        </w:numPr>
        <w:spacing w:after="80" w:line="312"/>
      </w:pPr>
      <w:r>
        <w:rPr>
          <w:rFonts w:ascii="Times New Roman" w:eastAsia="Times New Roman"/>
          <w:b/>
          <w:bCs/>
          <w:color w:val="000000"/>
          <w:sz w:val="24"/>
          <w:szCs w:val="24"/>
        </w:rPr>
        <w:t xml:space="preserve">Policy-bounded offers.</w:t>
      </w:r>
      <w:r>
        <w:rPr>
          <w:rFonts w:ascii="Times New Roman" w:eastAsia="Times New Roman"/>
          <w:color w:val="000000"/>
          <w:sz w:val="24"/>
          <w:szCs w:val="24"/>
        </w:rPr>
        <w:t xml:space="preserve"> Coupon codes are applied through the same guarded pipeline; a coupon advertising more than policy allows is clamped to the cap and the clamp is explained inline.</w:t>
      </w:r>
    </w:p>
    <w:p>
      <w:pPr>
        <w:pStyle w:val="Heading2"/>
        <w:spacing w:after="120" w:before="240" w:line="312"/>
      </w:pPr>
      <w:bookmarkStart w:id="100004" w:name="_Toc100004"/>
      <w:r>
        <w:rPr>
          <w:rFonts w:ascii="Times New Roman" w:eastAsia="Times New Roman"/>
          <w:b/>
          <w:bCs/>
          <w:color w:val="0A1628"/>
          <w:sz w:val="28"/>
          <w:szCs w:val="28"/>
        </w:rPr>
        <w:t xml:space="preserve">3.2 Transactable by AI buyers (the merchant as an API)</w:t>
      </w:r>
      <w:bookmarkEnd w:id="100004"/>
    </w:p>
    <w:p>
      <w:pPr>
        <w:spacing w:after="120" w:line="312"/>
        <w:jc w:val="both"/>
      </w:pPr>
      <w:r>
        <w:rPr>
          <w:rFonts w:ascii="Times New Roman" w:eastAsia="Times New Roman"/>
          <w:color w:val="000000"/>
          <w:sz w:val="24"/>
          <w:szCs w:val="24"/>
        </w:rPr>
        <w:t xml:space="preserve">The catalog is published as a versioned, machine-readable feed at /catalog.json — products, stock, offers, shipping and refund policies, the agent bounds themselves, and an explicit seven-step how-to-buy contract. An external AI buyer can ingest this single document and become able to transact with the merchant, with constraints knowable before any money action rather than discovered after. Completed orders expose agent-readable receipts for post-purchase reconciliation by the buyer's own software.</w:t>
      </w:r>
    </w:p>
    <w:p>
      <w:pPr>
        <w:pStyle w:val="Heading2"/>
        <w:spacing w:after="120" w:before="240" w:line="312"/>
      </w:pPr>
      <w:bookmarkStart w:id="100005" w:name="_Toc100005"/>
      <w:r>
        <w:rPr>
          <w:rFonts w:ascii="Times New Roman" w:eastAsia="Times New Roman"/>
          <w:b/>
          <w:bCs/>
          <w:color w:val="0A1628"/>
          <w:sz w:val="28"/>
          <w:szCs w:val="28"/>
        </w:rPr>
        <w:t xml:space="preserve">3.3 The confirmation gate</w:t>
      </w:r>
      <w:bookmarkEnd w:id="100005"/>
    </w:p>
    <w:p>
      <w:pPr>
        <w:spacing w:after="120" w:line="312"/>
        <w:jc w:val="both"/>
      </w:pPr>
      <w:r>
        <w:rPr>
          <w:rFonts w:ascii="Times New Roman" w:eastAsia="Times New Roman"/>
          <w:color w:val="000000"/>
          <w:sz w:val="24"/>
          <w:szCs w:val="24"/>
        </w:rPr>
        <w:t xml:space="preserve">Checkout only drafts an order; it never charges. Capturing payment requires three simultaneous conditions: a pending order, presentation of the single-use token issued at checkout, and a user-confirmation flag that only the endpoint behind the Pay button ever sets. The agent's code path physically cannot supply that flag. Asking the agent to pay in chat produces a refusal — and the refusal itself is an audited event. This is the demonstration that the gate is structural, not a prompt-level politeness.</w:t>
      </w:r>
    </w:p>
    <w:p>
      <w:pPr>
        <w:pStyle w:val="Heading1"/>
        <w:spacing w:after="160" w:before="360" w:line="312"/>
      </w:pPr>
      <w:bookmarkStart w:id="100006" w:name="_Toc100006"/>
      <w:r>
        <w:rPr>
          <w:rFonts w:ascii="Times New Roman" w:eastAsia="Times New Roman"/>
          <w:b/>
          <w:bCs/>
          <w:color w:val="0A1628"/>
          <w:sz w:val="32"/>
          <w:szCs w:val="32"/>
        </w:rPr>
        <w:t xml:space="preserve">4. The Bar, as Architecture</w:t>
      </w:r>
      <w:bookmarkEnd w:id="100006"/>
    </w:p>
    <w:p>
      <w:pPr>
        <w:spacing w:after="120" w:line="312"/>
        <w:jc w:val="both"/>
      </w:pPr>
      <w:r>
        <w:rPr>
          <w:rFonts w:ascii="Times New Roman" w:eastAsia="Times New Roman"/>
          <w:color w:val="000000"/>
          <w:sz w:val="24"/>
          <w:szCs w:val="24"/>
        </w:rPr>
        <w:t xml:space="preserve">The track defines a bar for every submission. MasalaMart implements each element as a first-class subsystem rather than a demo flourish, as summarised below.</w:t>
      </w:r>
    </w:p>
    <w:p>
      <w:pPr>
        <w:keepNext/>
        <w:spacing w:after="80" w:before="160" w:line="312"/>
      </w:pPr>
      <w:r>
        <w:rPr>
          <w:rFonts w:ascii="Times New Roman" w:eastAsia="Times New Roman"/>
          <w:b/>
          <w:bCs/>
          <w:color w:val="6878A0"/>
          <w:sz w:val="21"/>
          <w:szCs w:val="21"/>
        </w:rPr>
        <w:t xml:space="preserve">Table 1 — Track bar mapped to subsystems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24%"/>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Requirement</w:t>
            </w:r>
          </w:p>
        </w:tc>
        <w:tc>
          <w:tcPr>
            <w:tcW w:type="pct" w:w="46%"/>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Implementation</w:t>
            </w:r>
          </w:p>
        </w:tc>
        <w:tc>
          <w:tcPr>
            <w:tcW w:type="pct" w:w="3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Where a judge sees it</w:t>
            </w:r>
          </w:p>
        </w:tc>
      </w:tr>
      <w:tr>
        <w:trPr>
          <w:cantSplit/>
        </w:trPr>
        <w:tc>
          <w:tcPr>
            <w:tcW w:type="pct" w:w="24%"/>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Every money action explainable</w:t>
            </w:r>
          </w:p>
        </w:tc>
        <w:tc>
          <w:tcPr>
            <w:tcW w:type="pct" w:w="4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Each action carries an explanation and a reasoning line; coupon clamps are itemised; recommendations carry their rule</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Chat transcript and audit timeline</w:t>
            </w:r>
          </w:p>
        </w:tc>
      </w:tr>
      <w:tr>
        <w:trPr>
          <w:cantSplit/>
        </w:trPr>
        <w:tc>
          <w:tcPr>
            <w:tcW w:type="pct" w:w="24%"/>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Bounded</w:t>
            </w:r>
          </w:p>
        </w:tc>
        <w:tc>
          <w:tcPr>
            <w:tcW w:type="pct" w:w="4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Server-side bounds engine: per-order, per-session, per-SKU, cart-size, coupon percentage and amount caps; stock re-checked at checkout</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Guardrail chips in the header; pass/fail rows on each audit event</w:t>
            </w:r>
          </w:p>
        </w:tc>
      </w:tr>
      <w:tr>
        <w:trPr>
          <w:cantSplit/>
        </w:trPr>
        <w:tc>
          <w:tcPr>
            <w:tcW w:type="pct" w:w="24%"/>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Gated</w:t>
            </w:r>
          </w:p>
        </w:tc>
        <w:tc>
          <w:tcPr>
            <w:tcW w:type="pct" w:w="4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Structural gate: pending order + single-use token + user gesture that only the Pay button's endpoint can assert; agent refusals are audited</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Asking “yes, pay now” in chat; red gate_denied event</w:t>
            </w:r>
          </w:p>
        </w:tc>
      </w:tr>
      <w:tr>
        <w:trPr>
          <w:cantSplit/>
        </w:trPr>
        <w:tc>
          <w:tcPr>
            <w:tcW w:type="pct" w:w="24%"/>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Audit trail</w:t>
            </w:r>
          </w:p>
        </w:tc>
        <w:tc>
          <w:tcPr>
            <w:tcW w:type="pct" w:w="4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Hash-chained JSONL ledger; each event's SHA-256 binds the previous hash; one-click verification; tamper demo flips the verdict</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Audit panel; Verify button; tamper scenario</w:t>
            </w:r>
          </w:p>
        </w:tc>
      </w:tr>
      <w:tr>
        <w:trPr>
          <w:cantSplit/>
        </w:trPr>
        <w:tc>
          <w:tcPr>
            <w:tcW w:type="pct" w:w="24%"/>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One failure handled gracefully</w:t>
            </w:r>
          </w:p>
        </w:tc>
        <w:tc>
          <w:tcPr>
            <w:tcW w:type="pct" w:w="4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Declined payment (nothing charged, order intact, retry on the same order) and out-of-stock discovered at checkout, with recovery offers; signature mismatches refused as security events</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Demo controls panel: force-decline and stock-drop scenarios</w:t>
            </w:r>
          </w:p>
        </w:tc>
      </w:tr>
    </w:tbl>
    <w:p>
      <w:pPr>
        <w:spacing w:after="120" w:line="312"/>
        <w:jc w:val="both"/>
      </w:pPr>
      <w:r>
        <w:rPr>
          <w:rFonts w:ascii="Times New Roman" w:eastAsia="Times New Roman"/>
          <w:color w:val="000000"/>
          <w:sz w:val="24"/>
          <w:szCs w:val="24"/>
        </w:rPr>
        <w:t xml:space="preserve">A deliberate design choice runs through all five rows: refusals are first-class outcomes. Blocked adds, ineligible coupons, gate denials, declined payments and signature mismatches all become ledger events with human-readable explanations. The audit trail therefore tells the story of what the agent refused to do, not merely what it did — which is precisely what a risk, compliance or trust reviewer would ask for.</w:t>
      </w:r>
    </w:p>
    <w:p>
      <w:pPr>
        <w:pStyle w:val="Heading1"/>
        <w:spacing w:after="160" w:before="360" w:line="312"/>
      </w:pPr>
      <w:bookmarkStart w:id="100007" w:name="_Toc100007"/>
      <w:r>
        <w:rPr>
          <w:rFonts w:ascii="Times New Roman" w:eastAsia="Times New Roman"/>
          <w:b/>
          <w:bCs/>
          <w:color w:val="0A1628"/>
          <w:sz w:val="32"/>
          <w:szCs w:val="32"/>
        </w:rPr>
        <w:t xml:space="preserve">5. System Architecture</w:t>
      </w:r>
      <w:bookmarkEnd w:id="100007"/>
    </w:p>
    <w:p>
      <w:pPr>
        <w:spacing w:after="120" w:line="312"/>
        <w:jc w:val="both"/>
      </w:pPr>
      <w:r>
        <w:rPr>
          <w:rFonts w:ascii="Times New Roman" w:eastAsia="Times New Roman"/>
          <w:color w:val="000000"/>
          <w:sz w:val="24"/>
          <w:szCs w:val="24"/>
        </w:rPr>
        <w:t xml:space="preserve">The system is a single Node.js process (zero npm dependencies) serving both the JSON API and the built React client. On startup it wires together five modules: the catalog and agent-readable feed builder; the store (sessions, carts and paise-exact pricing); the guardrails bounds engine; the hash-chained audit ledger; and the payment provider, which is either the built-in mock gateway or the real Razorpay test-mode adapter, selected automatically from environment configuration.</w:t>
      </w:r>
    </w:p>
    <w:p>
      <w:pPr>
        <w:spacing w:after="120" w:line="312"/>
        <w:jc w:val="both"/>
      </w:pPr>
      <w:r>
        <w:rPr>
          <w:rFonts w:ascii="Times New Roman" w:eastAsia="Times New Roman"/>
          <w:color w:val="000000"/>
          <w:sz w:val="24"/>
          <w:szCs w:val="24"/>
        </w:rPr>
        <w:t xml:space="preserve">The agent loop maps each user message to an intent — via a deterministic, fully offline NLU, or via an optional LLM adapter that targets any OpenAI-compatible endpoint — and executes exactly one tool per turn. Tools are the only way state changes: they run guardrail checks first, mutate state second, and append a fully-explained audit event third. The money path below shows the full journey.</w:t>
      </w:r>
    </w:p>
    <w:p>
      <w:pPr>
        <w:pStyle w:val="ListParagraph"/>
        <w:numPr>
          <w:ilvl w:val="0"/>
          <w:numId w:val="2"/>
        </w:numPr>
        <w:spacing w:after="80" w:line="312"/>
      </w:pPr>
      <w:r>
        <w:rPr>
          <w:rFonts w:ascii="Times New Roman" w:eastAsia="Times New Roman"/>
          <w:color w:val="000000"/>
          <w:sz w:val="24"/>
          <w:szCs w:val="24"/>
        </w:rPr>
        <w:t xml:space="preserve"> The user adds items and applies a coupon; each action passes the bounds engine and lands in the ledger with its checks.</w:t>
      </w:r>
    </w:p>
    <w:p>
      <w:pPr>
        <w:pStyle w:val="ListParagraph"/>
        <w:numPr>
          <w:ilvl w:val="0"/>
          <w:numId w:val="2"/>
        </w:numPr>
        <w:spacing w:after="80" w:line="312"/>
      </w:pPr>
      <w:r>
        <w:rPr>
          <w:rFonts w:ascii="Times New Roman" w:eastAsia="Times New Roman"/>
          <w:color w:val="000000"/>
          <w:sz w:val="24"/>
          <w:szCs w:val="24"/>
        </w:rPr>
        <w:t xml:space="preserve"> Checkout re-verifies stock and spend caps, drafts an order, creates the gateway order, and issues a single-use confirmation token. No money moves.</w:t>
      </w:r>
    </w:p>
    <w:p>
      <w:pPr>
        <w:pStyle w:val="ListParagraph"/>
        <w:numPr>
          <w:ilvl w:val="0"/>
          <w:numId w:val="2"/>
        </w:numPr>
        <w:spacing w:after="80" w:line="312"/>
      </w:pPr>
      <w:r>
        <w:rPr>
          <w:rFonts w:ascii="Times New Roman" w:eastAsia="Times New Roman"/>
          <w:color w:val="000000"/>
          <w:sz w:val="24"/>
          <w:szCs w:val="24"/>
        </w:rPr>
        <w:t xml:space="preserve"> If payment is requested from chat, the structural gate refuses; the refusal is audited with the agent as the actor.</w:t>
      </w:r>
    </w:p>
    <w:p>
      <w:pPr>
        <w:pStyle w:val="ListParagraph"/>
        <w:numPr>
          <w:ilvl w:val="0"/>
          <w:numId w:val="2"/>
        </w:numPr>
        <w:spacing w:after="80" w:line="312"/>
      </w:pPr>
      <w:r>
        <w:rPr>
          <w:rFonts w:ascii="Times New Roman" w:eastAsia="Times New Roman"/>
          <w:color w:val="000000"/>
          <w:sz w:val="24"/>
          <w:szCs w:val="24"/>
        </w:rPr>
        <w:t xml:space="preserve"> The human presses Pay. The gateway attempts the charge; on decline the failure is audited and the order stays intact for retry on the same order and token.</w:t>
      </w:r>
    </w:p>
    <w:p>
      <w:pPr>
        <w:pStyle w:val="ListParagraph"/>
        <w:numPr>
          <w:ilvl w:val="0"/>
          <w:numId w:val="2"/>
        </w:numPr>
        <w:spacing w:after="80" w:line="312"/>
      </w:pPr>
      <w:r>
        <w:rPr>
          <w:rFonts w:ascii="Times New Roman" w:eastAsia="Times New Roman"/>
          <w:color w:val="000000"/>
          <w:sz w:val="24"/>
          <w:szCs w:val="24"/>
        </w:rPr>
        <w:t xml:space="preserve"> On success the payment signature is verified (HMAC-SHA256 of order and payment identifiers), then settlement runs atomically: stock decrements, the session spend ledger increases, the cart clears, and the token burns.</w:t>
      </w:r>
    </w:p>
    <w:p>
      <w:pPr>
        <w:spacing w:after="120" w:line="312"/>
        <w:jc w:val="both"/>
      </w:pPr>
      <w:r>
        <w:rPr>
          <w:rFonts w:ascii="Times New Roman" w:eastAsia="Times New Roman"/>
          <w:color w:val="000000"/>
          <w:sz w:val="24"/>
          <w:szCs w:val="24"/>
        </w:rPr>
        <w:t xml:space="preserve">Monetary bounds are enforced server-side and apply identically to the agent path and the human path — the agent cannot do anything a human could not, and vice versa.</w:t>
      </w:r>
    </w:p>
    <w:p>
      <w:pPr>
        <w:keepNext/>
        <w:spacing w:after="80" w:before="160" w:line="312"/>
      </w:pPr>
      <w:r>
        <w:rPr>
          <w:rFonts w:ascii="Times New Roman" w:eastAsia="Times New Roman"/>
          <w:b/>
          <w:bCs/>
          <w:color w:val="6878A0"/>
          <w:sz w:val="21"/>
          <w:szCs w:val="21"/>
        </w:rPr>
        <w:t xml:space="preserve">Table 2 — Enforced bounds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4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Bound</w:t>
            </w:r>
          </w:p>
        </w:tc>
        <w:tc>
          <w:tcPr>
            <w:tcW w:type="pct" w:w="3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Default</w:t>
            </w:r>
          </w:p>
        </w:tc>
        <w:tc>
          <w:tcPr>
            <w:tcW w:type="pct" w:w="3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Enforced at</w:t>
            </w:r>
          </w:p>
        </w:tc>
      </w:tr>
      <w:tr>
        <w:trPr>
          <w:cantSplit/>
        </w:trPr>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Maximum per transaction</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₹5,000</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Checkout</w:t>
            </w:r>
          </w:p>
        </w:tc>
      </w:tr>
      <w:tr>
        <w:trPr>
          <w:cantSplit/>
        </w:trPr>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Maximum session spend (paid plus pending)</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₹15,000</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Checkout</w:t>
            </w:r>
          </w:p>
        </w:tc>
      </w:tr>
      <w:tr>
        <w:trPr>
          <w:cantSplit/>
        </w:trPr>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Quantity per SKU</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5 units</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Add to cart</w:t>
            </w:r>
          </w:p>
        </w:tc>
      </w:tr>
      <w:tr>
        <w:trPr>
          <w:cantSplit/>
        </w:trPr>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Cart size</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20 items</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Add to cart</w:t>
            </w:r>
          </w:p>
        </w:tc>
      </w:tr>
      <w:tr>
        <w:trPr>
          <w:cantSplit/>
        </w:trPr>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Stock</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Catalog value, re-checked at checkout</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Add to cart and checkout</w:t>
            </w:r>
          </w:p>
        </w:tc>
      </w:tr>
      <w:tr>
        <w:trPr>
          <w:cantSplit/>
        </w:trPr>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Coupon percentage / amount</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20% / ₹1,000 (clamped and explained)</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Coupon application</w:t>
            </w:r>
          </w:p>
        </w:tc>
      </w:tr>
      <w:tr>
        <w:trPr>
          <w:cantSplit/>
        </w:trPr>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Recommendation volume</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2 proposals per turn</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Recommendation tool</w:t>
            </w:r>
          </w:p>
        </w:tc>
      </w:tr>
      <w:tr>
        <w:trPr>
          <w:cantSplit/>
        </w:trPr>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Campaign issuance</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1 coupon per session</w:t>
            </w:r>
          </w:p>
        </w:tc>
        <w:tc>
          <w:tcPr>
            <w:tcW w:type="pct" w:w="3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Campaign endpoint</w:t>
            </w:r>
          </w:p>
        </w:tc>
      </w:tr>
    </w:tbl>
    <w:p>
      <w:pPr>
        <w:pStyle w:val="Heading1"/>
        <w:spacing w:after="160" w:before="360" w:line="312"/>
      </w:pPr>
      <w:bookmarkStart w:id="100008" w:name="_Toc100008"/>
      <w:r>
        <w:rPr>
          <w:rFonts w:ascii="Times New Roman" w:eastAsia="Times New Roman"/>
          <w:b/>
          <w:bCs/>
          <w:color w:val="0A1628"/>
          <w:sz w:val="32"/>
          <w:szCs w:val="32"/>
        </w:rPr>
        <w:t xml:space="preserve">6. Technology Stack and Key Design Decisions</w:t>
      </w:r>
      <w:bookmarkEnd w:id="100008"/>
    </w:p>
    <w:p>
      <w:pPr>
        <w:keepNext/>
        <w:spacing w:after="80" w:before="160" w:line="312"/>
      </w:pPr>
      <w:r>
        <w:rPr>
          <w:rFonts w:ascii="Times New Roman" w:eastAsia="Times New Roman"/>
          <w:b/>
          <w:bCs/>
          <w:color w:val="6878A0"/>
          <w:sz w:val="21"/>
          <w:szCs w:val="21"/>
        </w:rPr>
        <w:t xml:space="preserve">Table 3 — Stack</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18%"/>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Layer</w:t>
            </w:r>
          </w:p>
        </w:tc>
        <w:tc>
          <w:tcPr>
            <w:tcW w:type="pct" w:w="42%"/>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Technology</w:t>
            </w:r>
          </w:p>
        </w:tc>
        <w:tc>
          <w:tcPr>
            <w:tcW w:type="pct" w:w="40%"/>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Notes</w:t>
            </w:r>
          </w:p>
        </w:tc>
      </w:tr>
      <w:tr>
        <w:trPr>
          <w:cantSplit/>
        </w:trPr>
        <w:tc>
          <w:tcPr>
            <w:tcW w:type="pct" w:w="18%"/>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Frontend</w:t>
            </w:r>
          </w:p>
        </w:tc>
        <w:tc>
          <w:tcPr>
            <w:tcW w:type="pct" w:w="4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React 19 + Vite, lucide-react icons, Inter Variable</w:t>
            </w:r>
          </w:p>
        </w:tc>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Premium fintech design system; built bundle served by the Node server</w:t>
            </w:r>
          </w:p>
        </w:tc>
      </w:tr>
      <w:tr>
        <w:trPr>
          <w:cantSplit/>
        </w:trPr>
        <w:tc>
          <w:tcPr>
            <w:tcW w:type="pct" w:w="18%"/>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Backend</w:t>
            </w:r>
          </w:p>
        </w:tc>
        <w:tc>
          <w:tcPr>
            <w:tcW w:type="pct" w:w="4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Node.js (&gt;=18), zero npm dependencies</w:t>
            </w:r>
          </w:p>
        </w:tc>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Native http, crypto and fetch; runs fully offline</w:t>
            </w:r>
          </w:p>
        </w:tc>
      </w:tr>
      <w:tr>
        <w:trPr>
          <w:cantSplit/>
        </w:trPr>
        <w:tc>
          <w:tcPr>
            <w:tcW w:type="pct" w:w="18%"/>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Payments</w:t>
            </w:r>
          </w:p>
        </w:tc>
        <w:tc>
          <w:tcPr>
            <w:tcW w:type="pct" w:w="4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Mock gateway; Razorpay Orders API adapter (test mode)</w:t>
            </w:r>
          </w:p>
        </w:tc>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Same order → payment → HMAC signature contract; keys switch providers</w:t>
            </w:r>
          </w:p>
        </w:tc>
      </w:tr>
      <w:tr>
        <w:trPr>
          <w:cantSplit/>
        </w:trPr>
        <w:tc>
          <w:tcPr>
            <w:tcW w:type="pct" w:w="18%"/>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Agent</w:t>
            </w:r>
          </w:p>
        </w:tc>
        <w:tc>
          <w:tcPr>
            <w:tcW w:type="pct" w:w="4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Deterministic NLU; optional OpenAI-compatible LLM adapter</w:t>
            </w:r>
          </w:p>
        </w:tc>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Same tool contract; LLM failure falls back to rules</w:t>
            </w:r>
          </w:p>
        </w:tc>
      </w:tr>
      <w:tr>
        <w:trPr>
          <w:cantSplit/>
        </w:trPr>
        <w:tc>
          <w:tcPr>
            <w:tcW w:type="pct" w:w="18%"/>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Persistence</w:t>
            </w:r>
          </w:p>
        </w:tc>
        <w:tc>
          <w:tcPr>
            <w:tcW w:type="pct" w:w="4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In-memory session store; JSONL audit mirror</w:t>
            </w:r>
          </w:p>
        </w:tc>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Durable, append-only ledger on disk</w:t>
            </w:r>
          </w:p>
        </w:tc>
      </w:tr>
      <w:tr>
        <w:trPr>
          <w:cantSplit/>
        </w:trPr>
        <w:tc>
          <w:tcPr>
            <w:tcW w:type="pct" w:w="18%"/>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Quality</w:t>
            </w:r>
          </w:p>
        </w:tc>
        <w:tc>
          <w:tcPr>
            <w:tcW w:type="pct" w:w="4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node:test suite (30 tests); HTTP smoke suite (17 checks)</w:t>
            </w:r>
          </w:p>
        </w:tc>
        <w:tc>
          <w:tcPr>
            <w:tcW w:type="pct" w:w="40%"/>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Unit, integration and end-to-end coverage</w:t>
            </w:r>
          </w:p>
        </w:tc>
      </w:tr>
    </w:tbl>
    <w:p>
      <w:pPr>
        <w:spacing w:after="120" w:line="312"/>
        <w:jc w:val="both"/>
      </w:pPr>
      <w:r>
        <w:rPr>
          <w:rFonts w:ascii="Times New Roman" w:eastAsia="Times New Roman"/>
          <w:b/>
          <w:bCs/>
          <w:color w:val="000000"/>
          <w:sz w:val="24"/>
          <w:szCs w:val="24"/>
        </w:rPr>
        <w:t xml:space="preserve">Structural, not prompt-level, safety. </w:t>
      </w:r>
      <w:r>
        <w:rPr>
          <w:rFonts w:ascii="Times New Roman" w:eastAsia="Times New Roman"/>
          <w:color w:val="000000"/>
          <w:sz w:val="24"/>
          <w:szCs w:val="24"/>
        </w:rPr>
        <w:t xml:space="preserve">The confirmation gate is a function parameter that only one route in the codebase ever sets to true. There is no prompt to jailbreak and no permission to negotiate: the agent simply lacks the ability. Attempting it is itself an audited security-relevant event.</w:t>
      </w:r>
    </w:p>
    <w:p>
      <w:pPr>
        <w:spacing w:after="120" w:line="312"/>
        <w:jc w:val="both"/>
      </w:pPr>
      <w:r>
        <w:rPr>
          <w:rFonts w:ascii="Times New Roman" w:eastAsia="Times New Roman"/>
          <w:b/>
          <w:bCs/>
          <w:color w:val="000000"/>
          <w:sz w:val="24"/>
          <w:szCs w:val="24"/>
        </w:rPr>
        <w:t xml:space="preserve">One bounds engine, two callers. </w:t>
      </w:r>
      <w:r>
        <w:rPr>
          <w:rFonts w:ascii="Times New Roman" w:eastAsia="Times New Roman"/>
          <w:color w:val="000000"/>
          <w:sz w:val="24"/>
          <w:szCs w:val="24"/>
        </w:rPr>
        <w:t xml:space="preserve">Agent tools and human-facing endpoints call the same guardrail functions, so the trust boundary is shared by construction rather than duplicated and drift-prone.</w:t>
      </w:r>
    </w:p>
    <w:p>
      <w:pPr>
        <w:spacing w:after="120" w:line="312"/>
        <w:jc w:val="both"/>
      </w:pPr>
      <w:r>
        <w:rPr>
          <w:rFonts w:ascii="Times New Roman" w:eastAsia="Times New Roman"/>
          <w:b/>
          <w:bCs/>
          <w:color w:val="000000"/>
          <w:sz w:val="24"/>
          <w:szCs w:val="24"/>
        </w:rPr>
        <w:t xml:space="preserve">Deterministic-first AI. </w:t>
      </w:r>
      <w:r>
        <w:rPr>
          <w:rFonts w:ascii="Times New Roman" w:eastAsia="Times New Roman"/>
          <w:color w:val="000000"/>
          <w:sz w:val="24"/>
          <w:szCs w:val="24"/>
        </w:rPr>
        <w:t xml:space="preserve">The rules-based parser drives the same tools an LLM would; the LLM adapter only selects tools — it never formats amounts, never signs anything and never confirms payments. If the LLM is unavailable or returns garbage, the agent degrades to rules instead of going down.</w:t>
      </w:r>
    </w:p>
    <w:p>
      <w:pPr>
        <w:spacing w:after="120" w:line="312"/>
        <w:jc w:val="both"/>
      </w:pPr>
      <w:r>
        <w:rPr>
          <w:rFonts w:ascii="Times New Roman" w:eastAsia="Times New Roman"/>
          <w:b/>
          <w:bCs/>
          <w:color w:val="000000"/>
          <w:sz w:val="24"/>
          <w:szCs w:val="24"/>
        </w:rPr>
        <w:t xml:space="preserve">Razorpay-native money handling. </w:t>
      </w:r>
      <w:r>
        <w:rPr>
          <w:rFonts w:ascii="Times New Roman" w:eastAsia="Times New Roman"/>
          <w:color w:val="000000"/>
          <w:sz w:val="24"/>
          <w:szCs w:val="24"/>
        </w:rPr>
        <w:t xml:space="preserve">All amounts are integer paise end to end — there is no floating-point arithmetic anywhere near a rupee. The mock gateway mirrors Razorpay's contract exactly (order creation, payment, HMAC-SHA256 signature over order and payment identifiers, server-side verification), so supplying real test keys changes only the adapter, not the money path.</w:t>
      </w:r>
    </w:p>
    <w:p>
      <w:pPr>
        <w:pStyle w:val="Heading1"/>
        <w:spacing w:after="160" w:before="360" w:line="312"/>
      </w:pPr>
      <w:bookmarkStart w:id="100009" w:name="_Toc100009"/>
      <w:r>
        <w:rPr>
          <w:rFonts w:ascii="Times New Roman" w:eastAsia="Times New Roman"/>
          <w:b/>
          <w:bCs/>
          <w:color w:val="0A1628"/>
          <w:sz w:val="32"/>
          <w:szCs w:val="32"/>
        </w:rPr>
        <w:t xml:space="preserve">7. API Reference</w:t>
      </w:r>
      <w:bookmarkEnd w:id="100009"/>
    </w:p>
    <w:p>
      <w:pPr>
        <w:keepNext/>
        <w:spacing w:after="80" w:before="160" w:line="312"/>
      </w:pPr>
      <w:r>
        <w:rPr>
          <w:rFonts w:ascii="Times New Roman" w:eastAsia="Times New Roman"/>
          <w:b/>
          <w:bCs/>
          <w:color w:val="6878A0"/>
          <w:sz w:val="21"/>
          <w:szCs w:val="21"/>
        </w:rPr>
        <w:t xml:space="preserve">Table 4 — Principal endpoints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26%"/>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Endpoint</w:t>
            </w:r>
          </w:p>
        </w:tc>
        <w:tc>
          <w:tcPr>
            <w:tcW w:type="pct" w:w="12%"/>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Method</w:t>
            </w:r>
          </w:p>
        </w:tc>
        <w:tc>
          <w:tcPr>
            <w:tcW w:type="pct" w:w="62%"/>
            <w:shd w:fill="1B6B7A" w:val="clear"/>
            <w:tcMar>
              <w:top w:type="dxa" w:w="70"/>
              <w:left w:type="dxa" w:w="120"/>
              <w:bottom w:type="dxa" w:w="70"/>
              <w:right w:type="dxa" w:w="120"/>
            </w:tcMar>
          </w:tcPr>
          <w:p>
            <w:pPr>
              <w:spacing w:line="276"/>
            </w:pPr>
            <w:r>
              <w:rPr>
                <w:rFonts w:ascii="Times New Roman" w:eastAsia="Times New Roman"/>
                <w:b/>
                <w:bCs/>
                <w:color w:val="FFFFFF"/>
                <w:sz w:val="20"/>
                <w:szCs w:val="20"/>
              </w:rPr>
              <w:t xml:space="preserve">Purpose</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/catalog.json</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GET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Agent-readable catalog feed (schema, products, offers, policies, bounds, how-to-buy)</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/api/chat</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POST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Conversational agent: one intent → one tool → reply, proposals and state</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/api/checkout</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POST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Draft an order (bounds re-checked); issues a single-use confirmation token</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/api/confirm</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POST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The only money-moving route; requires token and the user's click</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/api/state</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GET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Cart, totals, pending order and session spend for the UI</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/api/audit</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GET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Audit events for a session, plus the chain verification verdict</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/api/audit/verify</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GET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Recompute the hash chain across the whole ledger</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/api/receipt?orderId=</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GET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Agent-readable receipt for a completed order</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/api/campaigns/run</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POST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Run the bounded cart-recovery campaign</w:t>
            </w:r>
          </w:p>
        </w:tc>
      </w:tr>
      <w:tr>
        <w:trPr>
          <w:cantSplit/>
        </w:trPr>
        <w:tc>
          <w:tcPr>
            <w:tcW w:type="pct" w:w="26%"/>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/api/dev/*</w:t>
            </w:r>
          </w:p>
        </w:tc>
        <w:tc>
          <w:tcPr>
            <w:tcW w:type="pct" w:w="1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POST</w:t>
            </w:r>
          </w:p>
        </w:tc>
        <w:tc>
          <w:tcPr>
            <w:tcW w:type="pct" w:w="62%"/>
            <w:tcMar>
              <w:top w:type="dxa" w:w="70"/>
              <w:left w:type="dxa" w:w="120"/>
              <w:bottom w:type="dxa" w:w="70"/>
              <w:right w:type="dxa" w:w="120"/>
            </w:tcMar>
          </w:tcPr>
          <w:p>
            <w:pPr>
              <w:spacing w:line="276"/>
            </w:pPr>
            <w:r>
              <w:rPr>
                <w:rFonts w:ascii="Times New Roman" w:eastAsia="Times New Roman"/>
                <w:b w:val="false"/>
                <w:bCs w:val="false"/>
                <w:color w:val="000000"/>
                <w:sz w:val="20"/>
                <w:szCs w:val="20"/>
              </w:rPr>
              <w:t xml:space="preserve">Demo controls: set stock, tamper with ledger, reset session</w:t>
            </w:r>
          </w:p>
        </w:tc>
      </w:tr>
    </w:tbl>
    <w:p>
      <w:pPr>
        <w:pStyle w:val="Heading1"/>
        <w:spacing w:after="160" w:before="360" w:line="312"/>
      </w:pPr>
      <w:bookmarkStart w:id="100010" w:name="_Toc100010"/>
      <w:r>
        <w:rPr>
          <w:rFonts w:ascii="Times New Roman" w:eastAsia="Times New Roman"/>
          <w:b/>
          <w:bCs/>
          <w:color w:val="0A1628"/>
          <w:sz w:val="32"/>
          <w:szCs w:val="32"/>
        </w:rPr>
        <w:t xml:space="preserve">8. Running and Demoing</w:t>
      </w:r>
      <w:bookmarkEnd w:id="100010"/>
    </w:p>
    <w:p>
      <w:pPr>
        <w:pStyle w:val="Heading2"/>
        <w:spacing w:after="120" w:before="240" w:line="312"/>
      </w:pPr>
      <w:bookmarkStart w:id="100011" w:name="_Toc100011"/>
      <w:r>
        <w:rPr>
          <w:rFonts w:ascii="Times New Roman" w:eastAsia="Times New Roman"/>
          <w:b/>
          <w:bCs/>
          <w:color w:val="0A1628"/>
          <w:sz w:val="28"/>
          <w:szCs w:val="28"/>
        </w:rPr>
        <w:t xml:space="preserve">8.1 Quick start</w:t>
      </w:r>
      <w:bookmarkEnd w:id="100011"/>
    </w:p>
    <w:p>
      <w:pPr>
        <w:pStyle w:val="ListParagraph"/>
        <w:numPr>
          <w:ilvl w:val="0"/>
          <w:numId w:val="3"/>
        </w:numPr>
        <w:spacing w:after="80" w:line="312"/>
      </w:pPr>
      <w:r>
        <w:rPr>
          <w:rFonts w:ascii="Times New Roman" w:eastAsia="Times New Roman"/>
          <w:color w:val="000000"/>
          <w:sz w:val="24"/>
          <w:szCs w:val="24"/>
        </w:rPr>
        <w:t xml:space="preserve">Install client dependencies once: npm run client:install, then build the UI: npm run client:build.</w:t>
      </w:r>
    </w:p>
    <w:p>
      <w:pPr>
        <w:pStyle w:val="ListParagraph"/>
        <w:numPr>
          <w:ilvl w:val="0"/>
          <w:numId w:val="3"/>
        </w:numPr>
        <w:spacing w:after="80" w:line="312"/>
      </w:pPr>
      <w:r>
        <w:rPr>
          <w:rFonts w:ascii="Times New Roman" w:eastAsia="Times New Roman"/>
          <w:color w:val="000000"/>
          <w:sz w:val="24"/>
          <w:szCs w:val="24"/>
        </w:rPr>
        <w:t xml:space="preserve">Start the server: npm start. The storefront, agent chat and audit trail open at http://localhost:3000.</w:t>
      </w:r>
    </w:p>
    <w:p>
      <w:pPr>
        <w:pStyle w:val="ListParagraph"/>
        <w:numPr>
          <w:ilvl w:val="0"/>
          <w:numId w:val="3"/>
        </w:numPr>
        <w:spacing w:after="80" w:line="312"/>
      </w:pPr>
      <w:r>
        <w:rPr>
          <w:rFonts w:ascii="Times New Roman" w:eastAsia="Times New Roman"/>
          <w:color w:val="000000"/>
          <w:sz w:val="24"/>
          <w:szCs w:val="24"/>
        </w:rPr>
        <w:t xml:space="preserve">Optional: copy .env.example to .env and add Razorpay test keys and/or an LLM key; both are detected automatically.</w:t>
      </w:r>
    </w:p>
    <w:p>
      <w:pPr>
        <w:pStyle w:val="ListParagraph"/>
        <w:numPr>
          <w:ilvl w:val="0"/>
          <w:numId w:val="3"/>
        </w:numPr>
        <w:spacing w:after="80" w:line="312"/>
      </w:pPr>
      <w:r>
        <w:rPr>
          <w:rFonts w:ascii="Times New Roman" w:eastAsia="Times New Roman"/>
          <w:color w:val="000000"/>
          <w:sz w:val="24"/>
          <w:szCs w:val="24"/>
        </w:rPr>
        <w:t xml:space="preserve">Run the test suites: npm test (30 tests) and npm run smoke (17 HTTP checks against a scratch server).</w:t>
      </w:r>
    </w:p>
    <w:p>
      <w:pPr>
        <w:pStyle w:val="Heading2"/>
        <w:spacing w:after="120" w:before="240" w:line="312"/>
      </w:pPr>
      <w:bookmarkStart w:id="100012" w:name="_Toc100012"/>
      <w:r>
        <w:rPr>
          <w:rFonts w:ascii="Times New Roman" w:eastAsia="Times New Roman"/>
          <w:b/>
          <w:bCs/>
          <w:color w:val="0A1628"/>
          <w:sz w:val="28"/>
          <w:szCs w:val="28"/>
        </w:rPr>
        <w:t xml:space="preserve">8.2 The 90-second judge demo</w:t>
      </w:r>
      <w:bookmarkEnd w:id="100012"/>
    </w:p>
    <w:p>
      <w:pPr>
        <w:pStyle w:val="ListParagraph"/>
        <w:numPr>
          <w:ilvl w:val="0"/>
          <w:numId w:val="4"/>
        </w:numPr>
        <w:spacing w:after="80" w:line="312"/>
      </w:pPr>
      <w:r>
        <w:rPr>
          <w:rFonts w:ascii="Times New Roman" w:eastAsia="Times New Roman"/>
          <w:color w:val="000000"/>
          <w:sz w:val="24"/>
          <w:szCs w:val="24"/>
        </w:rPr>
        <w:t xml:space="preserve">Type “add 2 masala chai” — the agent adds ₹498 and proposes cookies and honey with stated rules.</w:t>
      </w:r>
    </w:p>
    <w:p>
      <w:pPr>
        <w:pStyle w:val="ListParagraph"/>
        <w:numPr>
          <w:ilvl w:val="0"/>
          <w:numId w:val="4"/>
        </w:numPr>
        <w:spacing w:after="80" w:line="312"/>
      </w:pPr>
      <w:r>
        <w:rPr>
          <w:rFonts w:ascii="Times New Roman" w:eastAsia="Times New Roman"/>
          <w:color w:val="000000"/>
          <w:sz w:val="24"/>
          <w:szCs w:val="24"/>
        </w:rPr>
        <w:t xml:space="preserve">Type “apply SAVE30” — the 30% coupon is clamped to the 20% policy cap and the clamp is explained.</w:t>
      </w:r>
    </w:p>
    <w:p>
      <w:pPr>
        <w:pStyle w:val="ListParagraph"/>
        <w:numPr>
          <w:ilvl w:val="0"/>
          <w:numId w:val="4"/>
        </w:numPr>
        <w:spacing w:after="80" w:line="312"/>
      </w:pPr>
      <w:r>
        <w:rPr>
          <w:rFonts w:ascii="Times New Roman" w:eastAsia="Times New Roman"/>
          <w:color w:val="000000"/>
          <w:sz w:val="24"/>
          <w:szCs w:val="24"/>
        </w:rPr>
        <w:t xml:space="preserve">Type “checkout” — an order is drafted at ₹447.40 and the agent states it cannot charge you.</w:t>
      </w:r>
    </w:p>
    <w:p>
      <w:pPr>
        <w:pStyle w:val="ListParagraph"/>
        <w:numPr>
          <w:ilvl w:val="0"/>
          <w:numId w:val="4"/>
        </w:numPr>
        <w:spacing w:after="80" w:line="312"/>
      </w:pPr>
      <w:r>
        <w:rPr>
          <w:rFonts w:ascii="Times New Roman" w:eastAsia="Times New Roman"/>
          <w:color w:val="000000"/>
          <w:sz w:val="24"/>
          <w:szCs w:val="24"/>
        </w:rPr>
        <w:t xml:space="preserve">Type “yes, pay now” — the structural gate refuses; a red gate_denied event lands in the audit trail.</w:t>
      </w:r>
    </w:p>
    <w:p>
      <w:pPr>
        <w:pStyle w:val="ListParagraph"/>
        <w:numPr>
          <w:ilvl w:val="0"/>
          <w:numId w:val="4"/>
        </w:numPr>
        <w:spacing w:after="80" w:line="312"/>
      </w:pPr>
      <w:r>
        <w:rPr>
          <w:rFonts w:ascii="Times New Roman" w:eastAsia="Times New Roman"/>
          <w:color w:val="000000"/>
          <w:sz w:val="24"/>
          <w:szCs w:val="24"/>
        </w:rPr>
        <w:t xml:space="preserve">Tick “Force decline” and press Pay — the failure is honest, nothing is charged, the order survives.</w:t>
      </w:r>
    </w:p>
    <w:p>
      <w:pPr>
        <w:pStyle w:val="ListParagraph"/>
        <w:numPr>
          <w:ilvl w:val="0"/>
          <w:numId w:val="4"/>
        </w:numPr>
        <w:spacing w:after="80" w:line="312"/>
      </w:pPr>
      <w:r>
        <w:rPr>
          <w:rFonts w:ascii="Times New Roman" w:eastAsia="Times New Roman"/>
          <w:color w:val="000000"/>
          <w:sz w:val="24"/>
          <w:szCs w:val="24"/>
        </w:rPr>
        <w:t xml:space="preserve">Untick and press Pay again — the same order completes; stock, spend ledger and receipt all update.</w:t>
      </w:r>
    </w:p>
    <w:p>
      <w:pPr>
        <w:pStyle w:val="ListParagraph"/>
        <w:numPr>
          <w:ilvl w:val="0"/>
          <w:numId w:val="4"/>
        </w:numPr>
        <w:spacing w:after="80" w:line="312"/>
      </w:pPr>
      <w:r>
        <w:rPr>
          <w:rFonts w:ascii="Times New Roman" w:eastAsia="Times New Roman"/>
          <w:color w:val="000000"/>
          <w:sz w:val="24"/>
          <w:szCs w:val="24"/>
        </w:rPr>
        <w:t xml:space="preserve">Use the demo controls: another buyer takes the last hamper (out-of-stock recovery), then tamper with the ledger and re-verify to watch the chain verdict flip.</w:t>
      </w:r>
    </w:p>
    <w:p>
      <w:pPr>
        <w:pStyle w:val="Heading1"/>
        <w:spacing w:after="160" w:before="360" w:line="312"/>
      </w:pPr>
      <w:bookmarkStart w:id="100013" w:name="_Toc100013"/>
      <w:r>
        <w:rPr>
          <w:rFonts w:ascii="Times New Roman" w:eastAsia="Times New Roman"/>
          <w:b/>
          <w:bCs/>
          <w:color w:val="0A1628"/>
          <w:sz w:val="32"/>
          <w:szCs w:val="32"/>
        </w:rPr>
        <w:t xml:space="preserve">9. Testing and Verification</w:t>
      </w:r>
      <w:bookmarkEnd w:id="100013"/>
    </w:p>
    <w:p>
      <w:pPr>
        <w:spacing w:after="120" w:line="312"/>
        <w:jc w:val="both"/>
      </w:pPr>
      <w:r>
        <w:rPr>
          <w:rFonts w:ascii="Times New Roman" w:eastAsia="Times New Roman"/>
          <w:color w:val="000000"/>
          <w:sz w:val="24"/>
          <w:szCs w:val="24"/>
        </w:rPr>
        <w:t xml:space="preserve">The repository carries three layers of verification. Thirty unit and integration tests (node:test) cover the bounds engine, paise-exact pricing and coupon clamps, the audit hash chain and its tamper detection, the deterministic NLU, and a full agent lifecycle test that exercises the gate refusal, the declined payment and the successful capture. A seventeen-check HTTP smoke suite boots a scratch server and drives the complete judge journey over the wire — catalog schema, totals, clamping, gate denial, decline and retry, receipt contents, stock decrement, out-of-stock handling, campaign response, audit completeness and tamper detection.</w:t>
      </w:r>
    </w:p>
    <w:p>
      <w:pPr>
        <w:spacing w:after="120" w:line="312"/>
        <w:jc w:val="both"/>
      </w:pPr>
      <w:r>
        <w:rPr>
          <w:rFonts w:ascii="Times New Roman" w:eastAsia="Times New Roman"/>
          <w:color w:val="000000"/>
          <w:sz w:val="24"/>
          <w:szCs w:val="24"/>
        </w:rPr>
        <w:t xml:space="preserve">Finally, the running UI was verified interactively in a real browser: the entire money journey was executed end to end, panel layout was validated geometrically, and the visual pass caught and fixed a real defect (a missing emoji field in the catalog feed that left product tiles blank). All suites pass: 30/30 tests and 17/17 smoke checks.</w:t>
      </w:r>
    </w:p>
    <w:p>
      <w:pPr>
        <w:pStyle w:val="Heading1"/>
        <w:spacing w:after="160" w:before="360" w:line="312"/>
      </w:pPr>
      <w:bookmarkStart w:id="100014" w:name="_Toc100014"/>
      <w:r>
        <w:rPr>
          <w:rFonts w:ascii="Times New Roman" w:eastAsia="Times New Roman"/>
          <w:b/>
          <w:bCs/>
          <w:color w:val="0A1628"/>
          <w:sz w:val="32"/>
          <w:szCs w:val="32"/>
        </w:rPr>
        <w:t xml:space="preserve">10. Conclusion and Roadmap</w:t>
      </w:r>
      <w:bookmarkEnd w:id="100014"/>
    </w:p>
    <w:p>
      <w:pPr>
        <w:spacing w:after="120" w:line="312"/>
        <w:jc w:val="both"/>
      </w:pPr>
      <w:r>
        <w:rPr>
          <w:rFonts w:ascii="Times New Roman" w:eastAsia="Times New Roman"/>
          <w:color w:val="000000"/>
          <w:sz w:val="24"/>
          <w:szCs w:val="24"/>
        </w:rPr>
        <w:t xml:space="preserve">MasalaMart demonstrates that an agent can grow merchant revenue inside a trust envelope that is architectural rather than aspirational: explainable actions, server-enforced bounds, a structural confirmation gate, a tamper-evident ledger, and honest failure handling. Because the merchant surface is itself machine-readable, the same storefront serves human shoppers and external AI buyers without divergence.</w:t>
      </w:r>
    </w:p>
    <w:p>
      <w:pPr>
        <w:spacing w:after="120" w:line="312"/>
        <w:jc w:val="both"/>
      </w:pPr>
      <w:r>
        <w:rPr>
          <w:rFonts w:ascii="Times New Roman" w:eastAsia="Times New Roman"/>
          <w:color w:val="000000"/>
          <w:sz w:val="24"/>
          <w:szCs w:val="24"/>
        </w:rPr>
        <w:t xml:space="preserve">Natural next steps, in rough order of value:</w:t>
      </w:r>
    </w:p>
    <w:p>
      <w:pPr>
        <w:pStyle w:val="ListParagraph"/>
        <w:numPr>
          <w:ilvl w:val="0"/>
          <w:numId w:val="1"/>
        </w:numPr>
        <w:spacing w:after="80" w:line="312"/>
      </w:pPr>
      <w:r>
        <w:rPr>
          <w:rFonts w:ascii="Times New Roman" w:eastAsia="Times New Roman"/>
          <w:b/>
          <w:bCs/>
          <w:color w:val="000000"/>
          <w:sz w:val="24"/>
          <w:szCs w:val="24"/>
        </w:rPr>
        <w:t xml:space="preserve">Persistence.</w:t>
      </w:r>
      <w:r>
        <w:rPr>
          <w:rFonts w:ascii="Times New Roman" w:eastAsia="Times New Roman"/>
          <w:color w:val="000000"/>
          <w:sz w:val="24"/>
          <w:szCs w:val="24"/>
        </w:rPr>
        <w:t xml:space="preserve"> Replace the in-memory session store with durable storage and add webhook-driven payment events for multi-device sessions.</w:t>
      </w:r>
    </w:p>
    <w:p>
      <w:pPr>
        <w:pStyle w:val="ListParagraph"/>
        <w:numPr>
          <w:ilvl w:val="0"/>
          <w:numId w:val="1"/>
        </w:numPr>
        <w:spacing w:after="80" w:line="312"/>
      </w:pPr>
      <w:r>
        <w:rPr>
          <w:rFonts w:ascii="Times New Roman" w:eastAsia="Times New Roman"/>
          <w:b/>
          <w:bCs/>
          <w:color w:val="000000"/>
          <w:sz w:val="24"/>
          <w:szCs w:val="24"/>
        </w:rPr>
        <w:t xml:space="preserve">Protocol alignment.</w:t>
      </w:r>
      <w:r>
        <w:rPr>
          <w:rFonts w:ascii="Times New Roman" w:eastAsia="Times New Roman"/>
          <w:color w:val="000000"/>
          <w:sz w:val="24"/>
          <w:szCs w:val="24"/>
        </w:rPr>
        <w:t xml:space="preserve"> Emit the catalog feed as an ACP/AP2-compatible endpoint and the audit ledger as a signed verifiable-credential stream.</w:t>
      </w:r>
    </w:p>
    <w:p>
      <w:pPr>
        <w:pStyle w:val="ListParagraph"/>
        <w:numPr>
          <w:ilvl w:val="0"/>
          <w:numId w:val="1"/>
        </w:numPr>
        <w:spacing w:after="80" w:line="312"/>
      </w:pPr>
      <w:r>
        <w:rPr>
          <w:rFonts w:ascii="Times New Roman" w:eastAsia="Times New Roman"/>
          <w:b/>
          <w:bCs/>
          <w:color w:val="000000"/>
          <w:sz w:val="24"/>
          <w:szCs w:val="24"/>
        </w:rPr>
        <w:t xml:space="preserve">Growth analytics.</w:t>
      </w:r>
      <w:r>
        <w:rPr>
          <w:rFonts w:ascii="Times New Roman" w:eastAsia="Times New Roman"/>
          <w:color w:val="000000"/>
          <w:sz w:val="24"/>
          <w:szCs w:val="24"/>
        </w:rPr>
        <w:t xml:space="preserve"> Move the campaign orchestrator from a single rule to a measured loop: cohort targeting, holdouts and revenue-lift reporting per the track's “measured impact” language.</w:t>
      </w:r>
    </w:p>
    <w:p>
      <w:pPr>
        <w:pStyle w:val="ListParagraph"/>
        <w:numPr>
          <w:ilvl w:val="0"/>
          <w:numId w:val="1"/>
        </w:numPr>
        <w:spacing w:after="80" w:line="312"/>
      </w:pPr>
      <w:r>
        <w:rPr>
          <w:rFonts w:ascii="Times New Roman" w:eastAsia="Times New Roman"/>
          <w:b/>
          <w:bCs/>
          <w:color w:val="000000"/>
          <w:sz w:val="24"/>
          <w:szCs w:val="24"/>
        </w:rPr>
        <w:t xml:space="preserve">Richer conversations.</w:t>
      </w:r>
      <w:r>
        <w:rPr>
          <w:rFonts w:ascii="Times New Roman" w:eastAsia="Times New Roman"/>
          <w:color w:val="000000"/>
          <w:sz w:val="24"/>
          <w:szCs w:val="24"/>
        </w:rPr>
        <w:t xml:space="preserve"> Wire the LLM adapter to streaming tool-calls with per-tool budgets, keeping the same structural gate.</w:t>
      </w:r>
    </w:p>
    <w:p>
      <w:pPr>
        <w:spacing w:after="120" w:line="312"/>
        <w:jc w:val="both"/>
      </w:pPr>
      <w:r>
        <w:rPr>
          <w:rFonts w:ascii="Times New Roman" w:eastAsia="Times New Roman"/>
          <w:color w:val="000000"/>
          <w:sz w:val="24"/>
          <w:szCs w:val="24"/>
        </w:rPr>
        <w:t xml:space="preserve">The project is ready for evaluation: the repository builds and runs with two commands, the demo is scripted, and every claim in this document maps to code that a reviewer can read — and to ledger entries that a reviewer can verify.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6878A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6878A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Times New Roman" w:eastAsia="Times New Roman"/>
        <w:color w:val="6878A0"/>
        <w:sz w:val="16"/>
        <w:szCs w:val="16"/>
      </w:rPr>
      <w:t xml:space="preserve">MasalaMart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A1628"/>
      <w:sz w:val="32"/>
      <w:szCs w:val="32"/>
    </w:rPr>
  </w:style>
  <w:style w:type="paragraph" w:styleId="Heading2">
    <w:name w:val="Heading 2"/>
    <w:basedOn w:val="Normal"/>
    <w:next w:val="Normal"/>
    <w:qFormat/>
    <w:pPr>
      <w:spacing w:after="120" w:before="240" w:line="312"/>
      <w:outlineLvl w:val="1"/>
    </w:pPr>
    <w:rPr>
      <w:rFonts w:ascii="Times New Roman" w:eastAsia="Times New Roman"/>
      <w:b/>
      <w:bCs/>
      <w:color w:val="0A16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2026-08-30T16:02:56.410Z</dcterms:created>
  <dcterms:modified xsi:type="dcterms:W3CDTF">2026-08-30T16:02:56.410Z</dcterms:modified>
</cp:coreProperties>
</file>

<file path=docProps/custom.xml><?xml version="1.0" encoding="utf-8"?>
<Properties xmlns="http://schemas.openxmlformats.org/officeDocument/2006/custom-properties" xmlns:vt="http://schemas.openxmlformats.org/officeDocument/2006/docPropsVTypes"/>
</file>