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54C62">
      <w:pPr>
        <w:spacing w:after="100"/>
        <w:jc w:val="center"/>
      </w:pPr>
      <w:r>
        <w:rPr>
          <w:b/>
          <w:bCs/>
          <w:sz w:val="32"/>
          <w:szCs w:val="32"/>
        </w:rPr>
        <w:t xml:space="preserve">Практическая работа №1 </w:t>
      </w:r>
      <w:r>
        <w:rPr>
          <w:b/>
          <w:bCs/>
          <w:sz w:val="32"/>
          <w:szCs w:val="32"/>
          <w:lang w:val="ru-RU"/>
        </w:rPr>
        <w:t>-</w:t>
      </w:r>
      <w:r>
        <w:rPr>
          <w:b/>
          <w:bCs/>
          <w:sz w:val="32"/>
          <w:szCs w:val="32"/>
        </w:rPr>
        <w:t xml:space="preserve"> TechStore</w:t>
      </w:r>
    </w:p>
    <w:p w14:paraId="05545A83">
      <w:pPr>
        <w:spacing w:after="60"/>
        <w:jc w:val="center"/>
      </w:pPr>
      <w:r>
        <w:rPr>
          <w:color w:val="555555"/>
          <w:sz w:val="24"/>
          <w:szCs w:val="24"/>
        </w:rPr>
        <w:t>OLTP → DWH → ручной ETL → аналитика</w:t>
      </w:r>
    </w:p>
    <w:p w14:paraId="7CA04DBA">
      <w:pPr>
        <w:spacing w:after="60"/>
        <w:jc w:val="center"/>
      </w:pPr>
      <w:r>
        <w:rPr>
          <w:color w:val="555555"/>
          <w:sz w:val="22"/>
          <w:szCs w:val="22"/>
        </w:rPr>
        <w:t>Дисциплина: Технология разработки и защиты баз данных</w:t>
      </w:r>
    </w:p>
    <w:p w14:paraId="4C6E50A0">
      <w:pPr>
        <w:spacing w:after="400"/>
        <w:jc w:val="center"/>
      </w:pPr>
      <w:r>
        <w:rPr>
          <w:color w:val="555555"/>
          <w:sz w:val="22"/>
          <w:szCs w:val="22"/>
        </w:rPr>
        <w:t>СУБД: Microsoft SQL Server 2022 (SQLEXPRESS)</w:t>
      </w:r>
    </w:p>
    <w:p w14:paraId="7E052BB6">
      <w:pPr>
        <w:pStyle w:val="2"/>
        <w:spacing w:before="300" w:after="150"/>
      </w:pPr>
      <w:r>
        <w:t>1. Диаграммы баз данных</w:t>
      </w:r>
    </w:p>
    <w:p w14:paraId="439F2B65">
      <w:pPr>
        <w:pStyle w:val="3"/>
        <w:spacing w:before="240" w:after="120"/>
      </w:pPr>
      <w:r>
        <w:t>1.1. OLTP: база TechStore</w:t>
      </w:r>
    </w:p>
    <w:p w14:paraId="495C6F5E">
      <w:pPr>
        <w:spacing w:after="120"/>
      </w:pPr>
      <w:r>
        <w:t xml:space="preserve">Операционная база содержит четыре таблицы: Customers, Products, Orders, OrderItems. Связи между ними </w:t>
      </w:r>
      <w:r>
        <w:rPr>
          <w:lang w:val="ru-RU"/>
        </w:rPr>
        <w:t>-</w:t>
      </w:r>
      <w:r>
        <w:t xml:space="preserve"> один-ко-многим: один клиент может оформить несколько заказов, один заказ может содержать несколько позиций (OrderItems), один товар может входить в несколько позиций заказов. Первичные ключи (CustomerID, ProductID, OrderID, OrderItemID) настроены как IDENTITY.</w:t>
      </w:r>
    </w:p>
    <w:p w14:paraId="6177CF27">
      <w:pPr>
        <w:spacing w:after="60"/>
        <w:jc w:val="center"/>
      </w:pPr>
      <w:r>
        <w:drawing>
          <wp:inline distT="0" distB="0" distL="0" distR="0">
            <wp:extent cx="5334000" cy="2667000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0E37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1 </w:t>
      </w:r>
      <w:r>
        <w:rPr>
          <w:i/>
          <w:iCs/>
          <w:color w:val="555555"/>
          <w:sz w:val="20"/>
          <w:szCs w:val="20"/>
          <w:lang w:val="ru-RU"/>
        </w:rPr>
        <w:t>-</w:t>
      </w:r>
      <w:r>
        <w:rPr>
          <w:i/>
          <w:iCs/>
          <w:color w:val="555555"/>
          <w:sz w:val="20"/>
          <w:szCs w:val="20"/>
        </w:rPr>
        <w:t xml:space="preserve"> ER-диаграмма OLTP базы TechStore</w:t>
      </w:r>
    </w:p>
    <w:p w14:paraId="4A814DE2">
      <w:pPr>
        <w:pStyle w:val="3"/>
        <w:spacing w:before="240" w:after="120"/>
      </w:pPr>
      <w:r>
        <w:t>1.2. DWH: база TechStore_DWH</w:t>
      </w:r>
    </w:p>
    <w:p w14:paraId="5B920B6B">
      <w:pPr>
        <w:spacing w:after="120"/>
      </w:pPr>
      <w:r>
        <w:t xml:space="preserve">Аналитическое хранилище построено по схеме «звезда»: таблица фактов FactSales в центре, вокруг три измерения </w:t>
      </w:r>
      <w:r>
        <w:rPr>
          <w:lang w:val="ru-RU"/>
        </w:rPr>
        <w:t>-</w:t>
      </w:r>
      <w:r>
        <w:t xml:space="preserve"> DimCustomer, DimProduct, DimDate. Гранулярность FactSales </w:t>
      </w:r>
      <w:r>
        <w:rPr>
          <w:lang w:val="ru-RU"/>
        </w:rPr>
        <w:t>-</w:t>
      </w:r>
      <w:r>
        <w:t xml:space="preserve"> одна строка соответствует одной строке OrderItems, то есть одной товарной позиции одного заказа. Технические ключи измерений (CustomerKey, ProductKey) и факта (SalesKey) </w:t>
      </w:r>
      <w:r>
        <w:rPr>
          <w:lang w:val="ru-RU"/>
        </w:rPr>
        <w:t>-</w:t>
      </w:r>
      <w:r>
        <w:t xml:space="preserve"> surrogate keys, созданные через IDENTITY(1,1); DateKey формируется как YYYYMMDD.</w:t>
      </w:r>
    </w:p>
    <w:p w14:paraId="3C975974">
      <w:pPr>
        <w:spacing w:after="60"/>
        <w:jc w:val="center"/>
      </w:pPr>
      <w:r>
        <w:drawing>
          <wp:inline distT="0" distB="0" distL="0" distR="0">
            <wp:extent cx="5334000" cy="4000500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2096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2 </w:t>
      </w:r>
      <w:r>
        <w:rPr>
          <w:i/>
          <w:iCs/>
          <w:color w:val="555555"/>
          <w:sz w:val="20"/>
          <w:szCs w:val="20"/>
          <w:lang w:val="ru-RU"/>
        </w:rPr>
        <w:t>-</w:t>
      </w:r>
      <w:r>
        <w:rPr>
          <w:i/>
          <w:iCs/>
          <w:color w:val="555555"/>
          <w:sz w:val="20"/>
          <w:szCs w:val="20"/>
        </w:rPr>
        <w:t xml:space="preserve"> ER-диаграмма DWH базы TechStore_DWH (схема «звезда»)</w:t>
      </w:r>
    </w:p>
    <w:p w14:paraId="2B9C6B51">
      <w:pPr>
        <w:pStyle w:val="2"/>
        <w:spacing w:before="300" w:after="150"/>
      </w:pPr>
      <w:r>
        <w:t>2. Описание ETL-скрипта</w:t>
      </w:r>
    </w:p>
    <w:p w14:paraId="6EFD3019">
      <w:pPr>
        <w:spacing w:after="120"/>
      </w:pPr>
      <w:r>
        <w:t>Скрипт Laba1_ETL_TechStore.sql выполняется последовательно, шаг за шагом, и включает создание структуры, наполнение OLTP исходными данными, полную ETL-загрузку DWH и аналитические запросы.</w:t>
      </w:r>
    </w:p>
    <w:p w14:paraId="7C67F011">
      <w:pPr>
        <w:pStyle w:val="3"/>
        <w:spacing w:before="240" w:after="120"/>
      </w:pPr>
      <w:r>
        <w:t>Шаг 0. Создание структуры баз данных</w:t>
      </w:r>
    </w:p>
    <w:p w14:paraId="40F4DD3B">
      <w:pPr>
        <w:spacing w:after="120"/>
      </w:pPr>
      <w:r>
        <w:t>Создаются (при отсутствии) базы TechStore и TechStore_DWH, а также все таблицы согласно спецификации задания: 4 таблицы OLTP со связями через FOREIGN KEY, и 4 таблицы DWH (3 измерения + факт).</w:t>
      </w:r>
    </w:p>
    <w:p w14:paraId="50DD7383">
      <w:pPr>
        <w:pStyle w:val="3"/>
        <w:spacing w:before="240" w:after="120"/>
      </w:pPr>
      <w:r>
        <w:t>Шаг 1. Наполнение OLTP (Extract-источник)</w:t>
      </w:r>
    </w:p>
    <w:p w14:paraId="231756F1">
      <w:pPr>
        <w:spacing w:after="120"/>
      </w:pPr>
      <w:r>
        <w:t>Выполняется фиксированный seed.sql: вставляются 10 клиентов, 15 товаров, 20 заказов и 43 позиции заказов. Поскольку значения первичных ключей заданы явно, а поля настроены как IDENTITY, вставка обёрнута в SET IDENTITY_INSERT ... ON/OFF для каждой таблицы по очереди.</w:t>
      </w:r>
    </w:p>
    <w:p w14:paraId="203BA026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2F2F2"/>
        <w:spacing w:before="100" w:after="200"/>
      </w:pPr>
      <w:r>
        <w:rPr>
          <w:rFonts w:ascii="Consolas" w:hAnsi="Consolas" w:eastAsia="Consolas" w:cs="Consolas"/>
          <w:sz w:val="18"/>
          <w:szCs w:val="18"/>
        </w:rPr>
        <w:t>SET IDENTITY_INSERT dbo.Customers ON;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INSERT INTO dbo.Customers (CustomerID, FirstName, ...) VALUES (...);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SET IDENTITY_INSERT dbo.Customers OFF;</w:t>
      </w:r>
    </w:p>
    <w:p w14:paraId="3C03EB69">
      <w:pPr>
        <w:spacing w:after="120"/>
      </w:pPr>
      <w:r>
        <w:t xml:space="preserve">После наполнения выполняется контрольный запрос числа строк и суммарных показателей </w:t>
      </w:r>
      <w:r>
        <w:rPr>
          <w:lang w:val="ru-RU"/>
        </w:rPr>
        <w:t>-</w:t>
      </w:r>
      <w:r>
        <w:t xml:space="preserve"> блок «До» ниже.</w:t>
      </w:r>
    </w:p>
    <w:p w14:paraId="53AD8710">
      <w:pPr>
        <w:pStyle w:val="3"/>
        <w:spacing w:before="240" w:after="120"/>
      </w:pPr>
      <w:r>
        <w:t>Шаг 2–3. Загрузка DimCustomer и DimProduct (Extract + Load)</w:t>
      </w:r>
    </w:p>
    <w:p w14:paraId="5AE0D635">
      <w:pPr>
        <w:spacing w:after="120"/>
      </w:pPr>
      <w:r>
        <w:t xml:space="preserve">Простой перенос через INSERT INTO ... SELECT из TechStore.dbo.Customers и TechStore.dbo.Products </w:t>
      </w:r>
      <w:r>
        <w:rPr>
          <w:lang w:val="ru-RU"/>
        </w:rPr>
        <w:t>-</w:t>
      </w:r>
      <w:r>
        <w:t xml:space="preserve"> трансформация не требуется, так как поля совпадают по смыслу. Business key источника (CustomerID, ProductID) сохраняется в измерении рядом с новым surrogate key.</w:t>
      </w:r>
    </w:p>
    <w:p w14:paraId="3DF2A09C">
      <w:pPr>
        <w:pStyle w:val="3"/>
        <w:spacing w:before="240" w:after="120"/>
      </w:pPr>
      <w:r>
        <w:t>Шаг 4. Загрузка DimDate (Transform + Load)</w:t>
      </w:r>
    </w:p>
    <w:p w14:paraId="41FE085C">
      <w:pPr>
        <w:spacing w:after="120"/>
      </w:pPr>
      <w:r>
        <w:t xml:space="preserve">В DimDate загружаются только уникальные даты, реально встретившиеся в Orders.OrderDate </w:t>
      </w:r>
      <w:r>
        <w:rPr>
          <w:lang w:val="ru-RU"/>
        </w:rPr>
        <w:t>-</w:t>
      </w:r>
      <w:r>
        <w:t xml:space="preserve"> полный календарь не требуется. DateKey вычисляется трансформацией даты в формат YYYYMMDD:</w:t>
      </w:r>
    </w:p>
    <w:p w14:paraId="3BED4010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2F2F2"/>
        <w:spacing w:before="100" w:after="200"/>
      </w:pPr>
      <w:r>
        <w:rPr>
          <w:rFonts w:ascii="Consolas" w:hAnsi="Consolas" w:eastAsia="Consolas" w:cs="Consolas"/>
          <w:sz w:val="18"/>
          <w:szCs w:val="18"/>
        </w:rPr>
        <w:t>CONVERT(INT, CONVERT(CHAR(8), OrderDate, 112)) AS DateKey</w:t>
      </w:r>
    </w:p>
    <w:p w14:paraId="796B74D7">
      <w:pPr>
        <w:spacing w:after="120"/>
      </w:pPr>
      <w:r>
        <w:t xml:space="preserve">Дополнительно вычисляются день, месяц, название месяца (DATENAME), квартал (DATEPART) и год (YEAR) </w:t>
      </w:r>
      <w:r>
        <w:rPr>
          <w:lang w:val="ru-RU"/>
        </w:rPr>
        <w:t>-</w:t>
      </w:r>
      <w:r>
        <w:t xml:space="preserve"> на основе тех же уникальных дат.</w:t>
      </w:r>
    </w:p>
    <w:p w14:paraId="683F6BAA">
      <w:pPr>
        <w:pStyle w:val="3"/>
        <w:spacing w:before="240" w:after="120"/>
      </w:pPr>
      <w:r>
        <w:t>Шаг 5. Черновая сборка FactSales (проверка перед загрузкой)</w:t>
      </w:r>
    </w:p>
    <w:p w14:paraId="520AA724">
      <w:pPr>
        <w:spacing w:after="120"/>
      </w:pPr>
      <w:r>
        <w:t xml:space="preserve">Прежде чем вставлять данные в FactSales, собирается и проверяется SELECT, связывающий OrderItems → Orders → DimCustomer → DimProduct → DimDate через JOIN по business key (lookup surrogate key). Проверяется количество строк (должно быть 43) и корректность значений до фактической вставки </w:t>
      </w:r>
      <w:r>
        <w:rPr>
          <w:lang w:val="ru-RU"/>
        </w:rPr>
        <w:t>-</w:t>
      </w:r>
      <w:r>
        <w:t xml:space="preserve"> это позволяет найти ошибку в JOIN раньше, чем данные попадут в целевую таблицу.</w:t>
      </w:r>
    </w:p>
    <w:p w14:paraId="6E9CDFA6">
      <w:pPr>
        <w:pStyle w:val="3"/>
        <w:spacing w:before="240" w:after="120"/>
      </w:pPr>
      <w:r>
        <w:t>Шаг 6. Загрузка FactSales (Load)</w:t>
      </w:r>
    </w:p>
    <w:p w14:paraId="4C130AE7">
      <w:pPr>
        <w:spacing w:after="120"/>
      </w:pPr>
      <w:r>
        <w:t>Тот же проверенный SELECT оборачивается в INSERT INTO FactSales ... SELECT ... Показатель Amount вычисляется как Quantity × Price (историческая цена продажи из OrderItems, а не текущая цена каталога из Products).</w:t>
      </w:r>
    </w:p>
    <w:p w14:paraId="3F431A76">
      <w:pPr>
        <w:pStyle w:val="3"/>
        <w:spacing w:before="240" w:after="120"/>
      </w:pPr>
      <w:r>
        <w:t>Шаг 7. Контроль после ETL</w:t>
      </w:r>
    </w:p>
    <w:p w14:paraId="6EB264A8">
      <w:pPr>
        <w:spacing w:after="120"/>
      </w:pPr>
      <w:r>
        <w:t xml:space="preserve">Сверяется количество строк в каждой таблице DWH и суммарные показатели (единицы, выручка) </w:t>
      </w:r>
      <w:r>
        <w:rPr>
          <w:lang w:val="ru-RU"/>
        </w:rPr>
        <w:t>-</w:t>
      </w:r>
      <w:r>
        <w:t xml:space="preserve"> должны в точности совпасть с показателями OLTP из Шага 1. Если FactSales содержит вдвое больше строк (86 вместо 43), это означает повторный запуск загрузки факта </w:t>
      </w:r>
      <w:r>
        <w:rPr>
          <w:lang w:val="ru-RU"/>
        </w:rPr>
        <w:t>-</w:t>
      </w:r>
      <w:r>
        <w:t xml:space="preserve"> тогда таблицу нужно очистить (TRUNCATE) и загрузить заново один раз.</w:t>
      </w:r>
    </w:p>
    <w:p w14:paraId="2530225E">
      <w:pPr>
        <w:pStyle w:val="3"/>
        <w:spacing w:before="240" w:after="120"/>
      </w:pPr>
      <w:r>
        <w:t>Шаг 8. Аналитические запросы</w:t>
      </w:r>
    </w:p>
    <w:p w14:paraId="2FB07BF6">
      <w:pPr>
        <w:spacing w:after="120"/>
      </w:pPr>
      <w:r>
        <w:t>Все 4 отчёта строятся исключительно по TechStore_DWH через JOIN измерений с фактом, GROUP BY и агрегатную функцию SUM, с сортировкой результатов через ORDER BY:</w:t>
      </w:r>
    </w:p>
    <w:p w14:paraId="6730DC6F">
      <w:pPr>
        <w:pStyle w:val="16"/>
        <w:numPr>
          <w:ilvl w:val="0"/>
          <w:numId w:val="1"/>
        </w:numPr>
        <w:spacing w:after="60"/>
      </w:pPr>
      <w:r>
        <w:t xml:space="preserve">Эффективность товаров </w:t>
      </w:r>
      <w:r>
        <w:rPr>
          <w:lang w:val="ru-RU"/>
        </w:rPr>
        <w:t>-</w:t>
      </w:r>
      <w:r>
        <w:t xml:space="preserve"> название, проданные единицы, выручка, по убыванию выручки</w:t>
      </w:r>
    </w:p>
    <w:p w14:paraId="0AA3FE27">
      <w:pPr>
        <w:pStyle w:val="16"/>
        <w:numPr>
          <w:ilvl w:val="0"/>
          <w:numId w:val="1"/>
        </w:numPr>
        <w:spacing w:after="60"/>
      </w:pPr>
      <w:r>
        <w:t>Выручка по категориям</w:t>
      </w:r>
    </w:p>
    <w:p w14:paraId="3DDCDD02">
      <w:pPr>
        <w:pStyle w:val="16"/>
        <w:numPr>
          <w:ilvl w:val="0"/>
          <w:numId w:val="1"/>
        </w:numPr>
        <w:spacing w:after="60"/>
      </w:pPr>
      <w:r>
        <w:t xml:space="preserve">Анализ клиентской базы </w:t>
      </w:r>
      <w:r>
        <w:rPr>
          <w:lang w:val="ru-RU"/>
        </w:rPr>
        <w:t>-</w:t>
      </w:r>
      <w:r>
        <w:t xml:space="preserve"> сумма покупок каждого клиента, определение лидера</w:t>
      </w:r>
    </w:p>
    <w:p w14:paraId="7DDA4EFA">
      <w:pPr>
        <w:pStyle w:val="16"/>
        <w:numPr>
          <w:ilvl w:val="0"/>
          <w:numId w:val="1"/>
        </w:numPr>
        <w:spacing w:after="60"/>
      </w:pPr>
      <w:r>
        <w:t xml:space="preserve">Временная сегментация </w:t>
      </w:r>
      <w:r>
        <w:rPr>
          <w:lang w:val="ru-RU"/>
        </w:rPr>
        <w:t>-</w:t>
      </w:r>
      <w:r>
        <w:t xml:space="preserve"> выручка по годам и месяцам в хронологическом порядке</w:t>
      </w:r>
    </w:p>
    <w:p w14:paraId="372EF55F">
      <w:pPr>
        <w:pStyle w:val="2"/>
        <w:spacing w:before="300" w:after="150"/>
      </w:pPr>
      <w:r>
        <w:t>3. Проверка переноса данных: До / После</w:t>
      </w:r>
    </w:p>
    <w:p w14:paraId="507C68B3">
      <w:pPr>
        <w:pStyle w:val="3"/>
        <w:spacing w:before="240" w:after="120"/>
      </w:pPr>
      <w:r>
        <w:t xml:space="preserve">3.1. «До» </w:t>
      </w:r>
      <w:r>
        <w:rPr>
          <w:lang w:val="ru-RU"/>
        </w:rPr>
        <w:t>-</w:t>
      </w:r>
      <w:r>
        <w:t xml:space="preserve"> наполнение OLTP (после seed.sql)</w:t>
      </w:r>
    </w:p>
    <w:p w14:paraId="4D1DDBD9">
      <w:pPr>
        <w:spacing w:after="120"/>
      </w:pPr>
      <w:r>
        <w:t>Результат контрольного запроса сразу после наполнения базы TechStore: количество строк в каждой таблице и суммарные показатели по OrderItems.</w:t>
      </w:r>
    </w:p>
    <w:p w14:paraId="0937DA1B">
      <w:pPr>
        <w:spacing w:after="60"/>
        <w:jc w:val="center"/>
      </w:pPr>
      <w:r>
        <w:drawing>
          <wp:inline distT="0" distB="0" distL="0" distR="0">
            <wp:extent cx="3619500" cy="2095500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610D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3 </w:t>
      </w:r>
      <w:r>
        <w:rPr>
          <w:i/>
          <w:iCs/>
          <w:color w:val="555555"/>
          <w:sz w:val="20"/>
          <w:szCs w:val="20"/>
          <w:lang w:val="ru-RU"/>
        </w:rPr>
        <w:t>-</w:t>
      </w:r>
      <w:r>
        <w:rPr>
          <w:i/>
          <w:iCs/>
          <w:color w:val="555555"/>
          <w:sz w:val="20"/>
          <w:szCs w:val="20"/>
        </w:rPr>
        <w:t xml:space="preserve"> Контроль количества строк и суммарных показателей в OLTP</w:t>
      </w:r>
    </w:p>
    <w:p w14:paraId="114B9D0D">
      <w:pPr>
        <w:pStyle w:val="3"/>
        <w:spacing w:before="240" w:after="120"/>
      </w:pPr>
      <w:r>
        <w:t xml:space="preserve">3.2. «После» </w:t>
      </w:r>
      <w:r>
        <w:rPr>
          <w:lang w:val="ru-RU"/>
        </w:rPr>
        <w:t>-</w:t>
      </w:r>
      <w:r>
        <w:t xml:space="preserve"> результат ETL в DWH</w:t>
      </w:r>
    </w:p>
    <w:p w14:paraId="50586421">
      <w:pPr>
        <w:spacing w:after="120"/>
      </w:pPr>
      <w:r>
        <w:t>После полной загрузки DWH выполнены промежуточные проверки количества строк в каждом измерении, черновой SELECT для FactSales (лежит в основе Шага 5), и финальный контроль по всем четырём таблицам DWH вместе с суммарными показателями.</w:t>
      </w:r>
    </w:p>
    <w:p w14:paraId="44A79045">
      <w:pPr>
        <w:spacing w:after="60"/>
        <w:jc w:val="center"/>
      </w:pPr>
      <w:r>
        <w:drawing>
          <wp:inline distT="0" distB="0" distL="0" distR="0">
            <wp:extent cx="5334000" cy="3219450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5E8B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4 </w:t>
      </w:r>
      <w:r>
        <w:rPr>
          <w:i/>
          <w:iCs/>
          <w:color w:val="555555"/>
          <w:sz w:val="20"/>
          <w:szCs w:val="20"/>
          <w:lang w:val="ru-RU"/>
        </w:rPr>
        <w:t>-</w:t>
      </w:r>
      <w:r>
        <w:rPr>
          <w:i/>
          <w:iCs/>
          <w:color w:val="555555"/>
          <w:sz w:val="20"/>
          <w:szCs w:val="20"/>
        </w:rPr>
        <w:t xml:space="preserve"> Пошаговые результаты выполнения ETL-скрипта: контроль измерений, черновая выборка FactSales, финальный контроль DWH</w:t>
      </w:r>
    </w:p>
    <w:p w14:paraId="525D20EC">
      <w:pPr>
        <w:pStyle w:val="3"/>
        <w:spacing w:before="240" w:after="120"/>
      </w:pPr>
      <w:r>
        <w:t>3.3. Сопоставление контрольных значений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06F1C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0C447C"/>
          </w:tcPr>
          <w:p w14:paraId="068FDA60">
            <w:r>
              <w:rPr>
                <w:b/>
                <w:bCs/>
                <w:color w:val="FFFFFF"/>
              </w:rPr>
              <w:t>Показатель</w:t>
            </w:r>
          </w:p>
        </w:tc>
        <w:tc>
          <w:tcPr>
            <w:tcW w:w="3000" w:type="dxa"/>
            <w:shd w:val="clear" w:color="auto" w:fill="0C447C"/>
          </w:tcPr>
          <w:p w14:paraId="16D26CE6">
            <w:r>
              <w:rPr>
                <w:b/>
                <w:bCs/>
                <w:color w:val="FFFFFF"/>
              </w:rPr>
              <w:t>Ожидается</w:t>
            </w:r>
          </w:p>
        </w:tc>
        <w:tc>
          <w:tcPr>
            <w:tcW w:w="3000" w:type="dxa"/>
            <w:shd w:val="clear" w:color="auto" w:fill="0C447C"/>
          </w:tcPr>
          <w:p w14:paraId="16912799">
            <w:r>
              <w:rPr>
                <w:b/>
                <w:bCs/>
                <w:color w:val="FFFFFF"/>
              </w:rPr>
              <w:t>Получено</w:t>
            </w:r>
          </w:p>
        </w:tc>
      </w:tr>
      <w:tr w14:paraId="0F505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3734D4E1">
            <w:r>
              <w:rPr>
                <w:b w:val="0"/>
                <w:bCs w:val="0"/>
                <w:color w:val="000000"/>
              </w:rPr>
              <w:t>DimCustomer</w:t>
            </w:r>
          </w:p>
        </w:tc>
        <w:tc>
          <w:tcPr>
            <w:tcW w:w="3000" w:type="dxa"/>
          </w:tcPr>
          <w:p w14:paraId="74720AE4">
            <w:r>
              <w:rPr>
                <w:b w:val="0"/>
                <w:bCs w:val="0"/>
                <w:color w:val="000000"/>
              </w:rPr>
              <w:t>10 строк</w:t>
            </w:r>
          </w:p>
        </w:tc>
        <w:tc>
          <w:tcPr>
            <w:tcW w:w="3000" w:type="dxa"/>
          </w:tcPr>
          <w:p w14:paraId="14FC299B">
            <w:r>
              <w:rPr>
                <w:b w:val="0"/>
                <w:bCs w:val="0"/>
                <w:color w:val="000000"/>
              </w:rPr>
              <w:t>10 строк</w:t>
            </w:r>
          </w:p>
        </w:tc>
      </w:tr>
      <w:tr w14:paraId="65C02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323C239B">
            <w:r>
              <w:rPr>
                <w:b w:val="0"/>
                <w:bCs w:val="0"/>
                <w:color w:val="000000"/>
              </w:rPr>
              <w:t>DimProduct</w:t>
            </w:r>
          </w:p>
        </w:tc>
        <w:tc>
          <w:tcPr>
            <w:tcW w:w="3000" w:type="dxa"/>
          </w:tcPr>
          <w:p w14:paraId="26952906">
            <w:r>
              <w:rPr>
                <w:b w:val="0"/>
                <w:bCs w:val="0"/>
                <w:color w:val="000000"/>
              </w:rPr>
              <w:t>15 строк</w:t>
            </w:r>
          </w:p>
        </w:tc>
        <w:tc>
          <w:tcPr>
            <w:tcW w:w="3000" w:type="dxa"/>
          </w:tcPr>
          <w:p w14:paraId="324DBA78">
            <w:r>
              <w:rPr>
                <w:b w:val="0"/>
                <w:bCs w:val="0"/>
                <w:color w:val="000000"/>
              </w:rPr>
              <w:t>15 строк</w:t>
            </w:r>
          </w:p>
        </w:tc>
      </w:tr>
      <w:tr w14:paraId="6D637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64A3C56B">
            <w:r>
              <w:rPr>
                <w:b w:val="0"/>
                <w:bCs w:val="0"/>
                <w:color w:val="000000"/>
              </w:rPr>
              <w:t>DimDate</w:t>
            </w:r>
          </w:p>
        </w:tc>
        <w:tc>
          <w:tcPr>
            <w:tcW w:w="3000" w:type="dxa"/>
          </w:tcPr>
          <w:p w14:paraId="14542C78">
            <w:r>
              <w:rPr>
                <w:b w:val="0"/>
                <w:bCs w:val="0"/>
                <w:color w:val="000000"/>
              </w:rPr>
              <w:t>20 строк</w:t>
            </w:r>
          </w:p>
        </w:tc>
        <w:tc>
          <w:tcPr>
            <w:tcW w:w="3000" w:type="dxa"/>
          </w:tcPr>
          <w:p w14:paraId="7DE3F8F8">
            <w:r>
              <w:rPr>
                <w:b w:val="0"/>
                <w:bCs w:val="0"/>
                <w:color w:val="000000"/>
              </w:rPr>
              <w:t>20 строк</w:t>
            </w:r>
          </w:p>
        </w:tc>
      </w:tr>
      <w:tr w14:paraId="77B4D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6AB3E902">
            <w:r>
              <w:rPr>
                <w:b w:val="0"/>
                <w:bCs w:val="0"/>
                <w:color w:val="000000"/>
              </w:rPr>
              <w:t>FactSales</w:t>
            </w:r>
          </w:p>
        </w:tc>
        <w:tc>
          <w:tcPr>
            <w:tcW w:w="3000" w:type="dxa"/>
          </w:tcPr>
          <w:p w14:paraId="0C1F1EB2">
            <w:r>
              <w:rPr>
                <w:b w:val="0"/>
                <w:bCs w:val="0"/>
                <w:color w:val="000000"/>
              </w:rPr>
              <w:t>43 строки</w:t>
            </w:r>
          </w:p>
        </w:tc>
        <w:tc>
          <w:tcPr>
            <w:tcW w:w="3000" w:type="dxa"/>
          </w:tcPr>
          <w:p w14:paraId="11FD9D3A">
            <w:r>
              <w:rPr>
                <w:b w:val="0"/>
                <w:bCs w:val="0"/>
                <w:color w:val="000000"/>
              </w:rPr>
              <w:t>43 строки</w:t>
            </w:r>
          </w:p>
        </w:tc>
      </w:tr>
      <w:tr w14:paraId="30FC6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5526E24C">
            <w:r>
              <w:rPr>
                <w:b w:val="0"/>
                <w:bCs w:val="0"/>
                <w:color w:val="000000"/>
              </w:rPr>
              <w:t>SUM(Quantity)</w:t>
            </w:r>
          </w:p>
        </w:tc>
        <w:tc>
          <w:tcPr>
            <w:tcW w:w="3000" w:type="dxa"/>
          </w:tcPr>
          <w:p w14:paraId="05B12767">
            <w:r>
              <w:rPr>
                <w:b w:val="0"/>
                <w:bCs w:val="0"/>
                <w:color w:val="000000"/>
              </w:rPr>
              <w:t>49</w:t>
            </w:r>
          </w:p>
        </w:tc>
        <w:tc>
          <w:tcPr>
            <w:tcW w:w="3000" w:type="dxa"/>
          </w:tcPr>
          <w:p w14:paraId="54D04817">
            <w:r>
              <w:rPr>
                <w:b w:val="0"/>
                <w:bCs w:val="0"/>
                <w:color w:val="000000"/>
              </w:rPr>
              <w:t>49</w:t>
            </w:r>
          </w:p>
        </w:tc>
      </w:tr>
      <w:tr w14:paraId="47CD2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2ECD6F56">
            <w:r>
              <w:rPr>
                <w:b w:val="0"/>
                <w:bCs w:val="0"/>
                <w:color w:val="000000"/>
              </w:rPr>
              <w:t>SUM(Amount)</w:t>
            </w:r>
          </w:p>
        </w:tc>
        <w:tc>
          <w:tcPr>
            <w:tcW w:w="3000" w:type="dxa"/>
          </w:tcPr>
          <w:p w14:paraId="6A7C9F82">
            <w:r>
              <w:rPr>
                <w:b w:val="0"/>
                <w:bCs w:val="0"/>
                <w:color w:val="000000"/>
              </w:rPr>
              <w:t>1 914 000.00</w:t>
            </w:r>
          </w:p>
        </w:tc>
        <w:tc>
          <w:tcPr>
            <w:tcW w:w="3000" w:type="dxa"/>
          </w:tcPr>
          <w:p w14:paraId="7867FFEB">
            <w:r>
              <w:rPr>
                <w:b w:val="0"/>
                <w:bCs w:val="0"/>
                <w:color w:val="000000"/>
              </w:rPr>
              <w:t>1 914 000.00</w:t>
            </w:r>
          </w:p>
        </w:tc>
      </w:tr>
    </w:tbl>
    <w:p w14:paraId="451998CA">
      <w:pPr>
        <w:spacing w:after="120"/>
      </w:pPr>
    </w:p>
    <w:p w14:paraId="2B6075B9">
      <w:pPr>
        <w:spacing w:after="120"/>
      </w:pPr>
      <w:r>
        <w:t>Все контрольные значения совпадают между OLTP-источником и результатом ETL в DWH. Загрузка выполнена корректно, без дублирования строк.</w:t>
      </w:r>
    </w:p>
    <w:p w14:paraId="276DB247">
      <w:r>
        <w:br w:type="page"/>
      </w:r>
    </w:p>
    <w:p w14:paraId="23C0E426">
      <w:pPr>
        <w:pStyle w:val="2"/>
        <w:spacing w:before="300" w:after="150"/>
      </w:pPr>
      <w:r>
        <w:t>4. Аналитические отчёты</w:t>
      </w:r>
    </w:p>
    <w:p w14:paraId="444F36B2">
      <w:pPr>
        <w:spacing w:after="120"/>
      </w:pPr>
      <w:r>
        <w:t xml:space="preserve">Все запросы выполнены по базе TechStore_DWH. Ниже </w:t>
      </w:r>
      <w:r>
        <w:rPr>
          <w:lang w:val="ru-RU"/>
        </w:rPr>
        <w:t>-</w:t>
      </w:r>
      <w:r>
        <w:t xml:space="preserve"> результаты всех четырёх аналитических заданий.</w:t>
      </w:r>
    </w:p>
    <w:p w14:paraId="4619FA7C">
      <w:pPr>
        <w:spacing w:after="60"/>
        <w:jc w:val="center"/>
      </w:pPr>
      <w:r>
        <w:drawing>
          <wp:inline distT="0" distB="0" distL="0" distR="0">
            <wp:extent cx="5334000" cy="3781425"/>
            <wp:effectExtent l="0" t="0" r="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058A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5 </w:t>
      </w:r>
      <w:r>
        <w:rPr>
          <w:i/>
          <w:iCs/>
          <w:color w:val="555555"/>
          <w:sz w:val="20"/>
          <w:szCs w:val="20"/>
          <w:lang w:val="ru-RU"/>
        </w:rPr>
        <w:t>-</w:t>
      </w:r>
      <w:r>
        <w:rPr>
          <w:i/>
          <w:iCs/>
          <w:color w:val="555555"/>
          <w:sz w:val="20"/>
          <w:szCs w:val="20"/>
        </w:rPr>
        <w:t xml:space="preserve"> Результаты аналитических запросов: эффективность товаров, выручка по категориям, анализ клиентов, выручка по годам/месяцам</w:t>
      </w:r>
    </w:p>
    <w:p w14:paraId="66EBD9DF">
      <w:pPr>
        <w:pStyle w:val="3"/>
        <w:spacing w:before="240" w:after="120"/>
      </w:pPr>
      <w:r>
        <w:t>Выводы по аналитике</w:t>
      </w:r>
    </w:p>
    <w:p w14:paraId="4E714072">
      <w:pPr>
        <w:pStyle w:val="16"/>
        <w:numPr>
          <w:ilvl w:val="0"/>
          <w:numId w:val="1"/>
        </w:numPr>
        <w:spacing w:after="60"/>
      </w:pPr>
      <w:r>
        <w:t xml:space="preserve">Лидер продаж среди товаров </w:t>
      </w:r>
      <w:r>
        <w:rPr>
          <w:lang w:val="ru-RU"/>
        </w:rPr>
        <w:t>-</w:t>
      </w:r>
      <w:r>
        <w:t xml:space="preserve"> «Ноутбук Pro 14» (5 единиц, 600 000.00 выручки)</w:t>
      </w:r>
    </w:p>
    <w:p w14:paraId="7C4C36DB">
      <w:pPr>
        <w:pStyle w:val="16"/>
        <w:numPr>
          <w:ilvl w:val="0"/>
          <w:numId w:val="1"/>
        </w:numPr>
        <w:spacing w:after="60"/>
      </w:pPr>
      <w:r>
        <w:t xml:space="preserve">Лидирующая категория по выручке </w:t>
      </w:r>
      <w:r>
        <w:rPr>
          <w:lang w:val="ru-RU"/>
        </w:rPr>
        <w:t>-</w:t>
      </w:r>
      <w:r>
        <w:t xml:space="preserve"> «Ноутбуки» (1 050 000.00)</w:t>
      </w:r>
    </w:p>
    <w:p w14:paraId="65B52E3B">
      <w:pPr>
        <w:pStyle w:val="16"/>
        <w:numPr>
          <w:ilvl w:val="0"/>
          <w:numId w:val="1"/>
        </w:numPr>
        <w:spacing w:after="60"/>
      </w:pPr>
      <w:r>
        <w:t xml:space="preserve">Клиент с наибольшей суммой покупок </w:t>
      </w:r>
      <w:r>
        <w:rPr>
          <w:lang w:val="ru-RU"/>
        </w:rPr>
        <w:t>-</w:t>
      </w:r>
      <w:r>
        <w:t xml:space="preserve"> Иван Иванов (368 000.00)</w:t>
      </w:r>
    </w:p>
    <w:p w14:paraId="0A139066">
      <w:pPr>
        <w:pStyle w:val="16"/>
        <w:numPr>
          <w:ilvl w:val="0"/>
          <w:numId w:val="1"/>
        </w:numPr>
        <w:spacing w:after="60"/>
      </w:pPr>
      <w:r>
        <w:t xml:space="preserve">Наибольшая выручка по месяцам </w:t>
      </w:r>
      <w:r>
        <w:rPr>
          <w:lang w:val="ru-RU"/>
        </w:rPr>
        <w:t>-</w:t>
      </w:r>
      <w:r>
        <w:t xml:space="preserve"> март 2026 года (495 000.00)</w:t>
      </w:r>
    </w:p>
    <w:p w14:paraId="3EBCF513">
      <w:pPr>
        <w:pStyle w:val="2"/>
        <w:spacing w:before="300" w:after="150"/>
      </w:pPr>
      <w:r>
        <w:t>5. Заключение</w:t>
      </w:r>
    </w:p>
    <w:p w14:paraId="36EC71A9">
      <w:pPr>
        <w:spacing w:after="120"/>
        <w:rPr>
          <w:rFonts w:hint="default"/>
          <w:lang w:val="ru-RU"/>
        </w:rPr>
      </w:pPr>
      <w:r>
        <w:t>Работа выполнена в полном объёме: структура обеих баз соответствует спецификации задания, OLTP наполнена фиксированным seed.sql, ETL-загрузка DWH выполнена вручную</w:t>
      </w:r>
      <w:r>
        <w:rPr>
          <w:rFonts w:hint="default"/>
          <w:lang w:val="ru-RU"/>
        </w:rPr>
        <w:t>.</w:t>
      </w:r>
    </w:p>
    <w:p w14:paraId="75066A76">
      <w:pPr>
        <w:spacing w:after="120"/>
        <w:rPr>
          <w:rFonts w:hint="default"/>
          <w:lang w:val="ru-RU"/>
        </w:rPr>
      </w:pPr>
      <w:bookmarkStart w:id="0" w:name="_GoBack"/>
      <w:bookmarkEnd w:id="0"/>
      <w:r>
        <w:t xml:space="preserve"> Контрольные значения до и после ETL совпадают</w:t>
      </w:r>
      <w:r>
        <w:rPr>
          <w:rFonts w:hint="default"/>
          <w:lang w:val="ru-RU"/>
        </w:rPr>
        <w:t>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8484B6D"/>
    <w:rsid w:val="6C347C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893</Words>
  <Characters>5598</Characters>
  <TotalTime>0</TotalTime>
  <ScaleCrop>false</ScaleCrop>
  <LinksUpToDate>false</LinksUpToDate>
  <CharactersWithSpaces>6412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2026-09-17T08:18:00Z</dcterms:created>
  <dc:creator>Un-named</dc:creator>
  <cp:lastModifiedBy>A</cp:lastModifiedBy>
  <dcterms:modified xsi:type="dcterms:W3CDTF">2026-09-17T08:21:41Z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eyJoZGlkIjoiMDJjMTA5Yzc3N2Y5N2IzMGJmZTkzZmU4YjMzYmI0MDMifQ==</vt:lpwstr>
  </property>
  <property fmtid="{D5CDD505-2E9C-101B-9397-08002B2CF9AE}" pid="3" name="KSOProductBuildVer">
    <vt:lpwstr>1049-12.1.0.28485</vt:lpwstr>
  </property>
  <property fmtid="{D5CDD505-2E9C-101B-9397-08002B2CF9AE}" pid="4" name="ICV">
    <vt:lpwstr>659AFEAF49F94BCA806F688FAAE8DA42_12</vt:lpwstr>
  </property>
</Properties>
</file>