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32"/>
        </w:rPr>
        <w:t>OEA: Structured Recursive Calibration</w:t>
        <w:br/>
        <w:t>for Generative Stability</w:t>
      </w:r>
    </w:p>
    <w:p>
      <w:pPr>
        <w:jc w:val="center"/>
      </w:pPr>
      <w:r>
        <w:rPr>
          <w:sz w:val="24"/>
        </w:rPr>
        <w:t>Tristen Pierson</w:t>
      </w:r>
    </w:p>
    <w:p>
      <w:pPr>
        <w:jc w:val="center"/>
      </w:pPr>
      <w:r>
        <w:rPr>
          <w:i/>
          <w:sz w:val="20"/>
        </w:rPr>
        <w:t>BitConcepts Research</w:t>
      </w:r>
    </w:p>
    <w:p>
      <w:pPr>
        <w:pStyle w:val="Heading1"/>
      </w:pPr>
      <w:r>
        <w:rPr>
          <w:rFonts w:ascii="Times New Roman" w:hAnsi="Times New Roman"/>
          <w:color w:val="000000"/>
        </w:rPr>
        <w:t>Abstract</w:t>
      </w:r>
    </w:p>
    <w:p>
      <w:r>
        <w:t>We present an empirical study of the OEA (Ontology, Epistemic, Agentic) framework as a three-layer protocol for improving reliability in recursive generative systems under synthetic-data exposure. The central thesis is: recursive generative stability depends more strongly on calibration direction and epistemic filtering than on unconstrained retrieval augmentation. "Ontology" in this work refers to structured distributional anchoring—not philosophical ontology. "Agentic" refers to recursive persistence dynamics—not autonomous agency. We report four experiments: (1) a bigram-proxy ablation study across 12 variants, (2) a four-model real LLM validation on distilgpt2 (82M), gpt2 (124M), gpt-neo-125M (125M), and Qwen2.5-1.5B (1.5B, modern 2024 architecture) with BM25 retrieval, (3) a 30-step recursive memory drift benchmark, and (4) a baseline competition against temperature reduction, top-k, entropy filtering, and repetition penalty. The full OEA protocol achieves TRR = 0.836 and FRR = 0.081 (d = 4.56, p &lt; 0.001). The anti-calibrated variant provides strong ablation evidence: inverting the selection signal degrades log-probability by −0.55 to −1.37 nats, while full OEA improves it by +0.62 to +1.63 nats across all four models and three architecture families. Results are fully reproducible.</w:t>
      </w:r>
    </w:p>
    <w:p>
      <w:r>
        <w:rPr>
          <w:b/>
          <w:sz w:val="20"/>
        </w:rPr>
        <w:t xml:space="preserve">Keywords: </w:t>
      </w:r>
      <w:r>
        <w:t>recursive calibration, epistemic filtering, model collapse, language models, distributional stability, retrieval augmented generation</w:t>
      </w:r>
    </w:p>
    <w:p>
      <w:pPr>
        <w:pStyle w:val="Heading1"/>
      </w:pPr>
      <w:r>
        <w:rPr>
          <w:rFonts w:ascii="Times New Roman" w:hAnsi="Times New Roman"/>
          <w:color w:val="000000"/>
        </w:rPr>
        <w:t>1. Introduction</w:t>
      </w:r>
    </w:p>
    <w:p>
      <w:pPr>
        <w:ind w:firstLine="360"/>
      </w:pPr>
      <w:r>
        <w:t>This work argues that recursive generative stability depends more strongly on calibration direction and epistemic filtering than on unconstrained retrieval augmentation. Retrieval without directional calibration is associated with harm to distributional fidelity; miscalibration actively reverses discrimination performance.</w:t>
      </w:r>
    </w:p>
    <w:p>
      <w:pPr>
        <w:ind w:firstLine="360"/>
      </w:pPr>
      <w:r>
        <w:t>Model collapse has become a central concern in recursive synthetic training pipelines, with evidence of degradation under specific feedback-loop assumptions [1, 2]. Subsequent studies show collapse behavior depends strongly on data-mixing assumptions, curation policy, and accumulation dynamics [3, 4]. This motivates a controlled framework that separates what is known, what is hypothesized, and what is empirically testable.</w:t>
      </w:r>
    </w:p>
    <w:p>
      <w:pPr>
        <w:ind w:firstLine="360"/>
      </w:pPr>
      <w:r>
        <w:t>The OEA framework provides such a structure. Ontological Anchoring defines boundary conditions on the distributional vocabulary—not formal symbolic ontology. Epistemic Filtering introduces explicit falsification and calibration checks for generated claims. Recursive Feedback operationalizes interventions in measurable recursive loops—not autonomous agency. This aligns with a Popperian criterion: claims must be framed so they can fail under evidence [5].</w:t>
      </w:r>
    </w:p>
    <w:p>
      <w:pPr>
        <w:pStyle w:val="Heading2"/>
      </w:pPr>
      <w:r>
        <w:rPr>
          <w:rFonts w:ascii="Times New Roman" w:hAnsi="Times New Roman"/>
          <w:color w:val="000000"/>
        </w:rPr>
        <w:t>1.1 Scope and Non-Claims</w:t>
      </w:r>
    </w:p>
    <w:p>
      <w:r>
        <w:t>This work makes the following explicit non-claims:</w:t>
      </w:r>
    </w:p>
    <w:p>
      <w:pPr>
        <w:pStyle w:val="ListBullet"/>
      </w:pPr>
      <w:r>
        <w:t>No claim of artificial general intelligence or any step toward it.</w:t>
      </w:r>
    </w:p>
    <w:p>
      <w:pPr>
        <w:pStyle w:val="ListBullet"/>
      </w:pPr>
      <w:r>
        <w:t>No claim of formal symbolic ontology; "Ontology" is used in its computational sense.</w:t>
      </w:r>
    </w:p>
    <w:p>
      <w:pPr>
        <w:pStyle w:val="ListBullet"/>
      </w:pPr>
      <w:r>
        <w:t>"Agentic" refers to recursive persistence dynamics, not autonomous agency.</w:t>
      </w:r>
    </w:p>
    <w:p>
      <w:pPr>
        <w:pStyle w:val="ListBullet"/>
      </w:pPr>
      <w:r>
        <w:t>No claim of causal proof; results indicate association and ablation consistency.</w:t>
      </w:r>
    </w:p>
    <w:p>
      <w:pPr>
        <w:pStyle w:val="ListBullet"/>
      </w:pPr>
      <w:r>
        <w:t>No claim of general intelligence improvement beyond the experimental regime.</w:t>
      </w:r>
    </w:p>
    <w:p>
      <w:pPr>
        <w:ind w:firstLine="360"/>
      </w:pPr>
      <w:r>
        <w:t>This work does not claim to provide a theory of consciousness, autonomous cognition, symbolic ontology, or general intelligence. The contribution is limited to substrate-level mechanisms for recursive generative stability under synthetic exposure.</w:t>
      </w:r>
    </w:p>
    <w:p>
      <w:pPr>
        <w:pStyle w:val="Heading1"/>
      </w:pPr>
      <w:r>
        <w:rPr>
          <w:rFonts w:ascii="Times New Roman" w:hAnsi="Times New Roman"/>
          <w:color w:val="000000"/>
        </w:rPr>
        <w:t>2. Core Hypotheses and Falsifiability</w:t>
      </w:r>
    </w:p>
    <w:p>
      <w:r>
        <w:t>H1 (Calibration Direction): Correct-direction calibration improves recursive distributional fidelity relative to unconstrained sampling.</w:t>
      </w:r>
    </w:p>
    <w:p>
      <w:r>
        <w:t>H2 (Miscalibration Reversal): Inverting the calibration signal reverses discrimination: TRR falls below control and FRR rises above control.</w:t>
      </w:r>
    </w:p>
    <w:p>
      <w:r>
        <w:t>H3 (RAG without Filter): Retrieval augmentation without epistemic filtering is associated with degraded distributional fidelity relative to full OEA.</w:t>
      </w:r>
    </w:p>
    <w:p>
      <w:r>
        <w:t>H4 (Memory Drift): OEA-controlled recursion is associated with lower semantic drift than unconstrained recursion over long chains.</w:t>
      </w:r>
    </w:p>
    <w:p>
      <w:pPr>
        <w:pStyle w:val="Heading2"/>
      </w:pPr>
      <w:r>
        <w:rPr>
          <w:rFonts w:ascii="Times New Roman" w:hAnsi="Times New Roman"/>
          <w:color w:val="000000"/>
        </w:rPr>
        <w:t>What would falsify OEA?</w:t>
      </w:r>
    </w:p>
    <w:p>
      <w:pPr>
        <w:pStyle w:val="ListBullet"/>
      </w:pPr>
      <w:r>
        <w:t>H1: oea_anchored log-probability is not consistently higher than control across all four models.</w:t>
      </w:r>
    </w:p>
    <w:p>
      <w:pPr>
        <w:pStyle w:val="ListBullet"/>
      </w:pPr>
      <w:r>
        <w:t>H2: oea_miscalibrated TRR is not lower than control TRR, or FRR is not higher.</w:t>
      </w:r>
    </w:p>
    <w:p>
      <w:pPr>
        <w:pStyle w:val="ListBullet"/>
      </w:pPr>
      <w:r>
        <w:t>H3: oea_rag_only log-probability is not lower than oea_anchored.</w:t>
      </w:r>
    </w:p>
    <w:p>
      <w:pPr>
        <w:pStyle w:val="ListBullet"/>
      </w:pPr>
      <w:r>
        <w:t>H4: OEA-controlled semantic drift (JSD) is not lower than uncontrolled at step 30.</w:t>
      </w:r>
    </w:p>
    <w:p>
      <w:pPr>
        <w:pStyle w:val="Heading1"/>
      </w:pPr>
      <w:r>
        <w:rPr>
          <w:rFonts w:ascii="Times New Roman" w:hAnsi="Times New Roman"/>
          <w:color w:val="000000"/>
        </w:rPr>
        <w:t>3. Notation and Formal Definitions</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18"/>
              </w:rPr>
              <w:t>Symbol</w:t>
            </w:r>
          </w:p>
        </w:tc>
        <w:tc>
          <w:tcPr>
            <w:tcW w:type="dxa" w:w="4680"/>
          </w:tcPr>
          <w:p>
            <w:pPr>
              <w:jc w:val="center"/>
            </w:pPr>
            <w:r>
              <w:rPr>
                <w:rFonts w:ascii="Times New Roman" w:hAnsi="Times New Roman"/>
                <w:b/>
                <w:sz w:val="18"/>
              </w:rPr>
              <w:t>Definition</w:t>
            </w:r>
          </w:p>
        </w:tc>
      </w:tr>
      <w:tr>
        <w:tc>
          <w:tcPr>
            <w:tcW w:type="dxa" w:w="4680"/>
          </w:tcPr>
          <w:p>
            <w:pPr>
              <w:jc w:val="center"/>
            </w:pPr>
            <w:r>
              <w:rPr>
                <w:rFonts w:ascii="Times New Roman" w:hAnsi="Times New Roman"/>
                <w:sz w:val="18"/>
              </w:rPr>
              <w:t>x_t</w:t>
            </w:r>
          </w:p>
        </w:tc>
        <w:tc>
          <w:tcPr>
            <w:tcW w:type="dxa" w:w="4680"/>
          </w:tcPr>
          <w:p>
            <w:pPr>
              <w:jc w:val="center"/>
            </w:pPr>
            <w:r>
              <w:rPr>
                <w:rFonts w:ascii="Times New Roman" w:hAnsi="Times New Roman"/>
                <w:sz w:val="18"/>
              </w:rPr>
              <w:t>Token sequence at recursive step t</w:t>
            </w:r>
          </w:p>
        </w:tc>
      </w:tr>
      <w:tr>
        <w:tc>
          <w:tcPr>
            <w:tcW w:type="dxa" w:w="4680"/>
          </w:tcPr>
          <w:p>
            <w:pPr>
              <w:jc w:val="center"/>
            </w:pPr>
            <w:r>
              <w:rPr>
                <w:rFonts w:ascii="Times New Roman" w:hAnsi="Times New Roman"/>
                <w:sz w:val="18"/>
              </w:rPr>
              <w:t>P_θ</w:t>
            </w:r>
          </w:p>
        </w:tc>
        <w:tc>
          <w:tcPr>
            <w:tcW w:type="dxa" w:w="4680"/>
          </w:tcPr>
          <w:p>
            <w:pPr>
              <w:jc w:val="center"/>
            </w:pPr>
            <w:r>
              <w:rPr>
                <w:rFonts w:ascii="Times New Roman" w:hAnsi="Times New Roman"/>
                <w:sz w:val="18"/>
              </w:rPr>
              <w:t>Generative model with frozen parameters θ</w:t>
            </w:r>
          </w:p>
        </w:tc>
      </w:tr>
      <w:tr>
        <w:tc>
          <w:tcPr>
            <w:tcW w:type="dxa" w:w="4680"/>
          </w:tcPr>
          <w:p>
            <w:pPr>
              <w:jc w:val="center"/>
            </w:pPr>
            <w:r>
              <w:rPr>
                <w:rFonts w:ascii="Times New Roman" w:hAnsi="Times New Roman"/>
                <w:sz w:val="18"/>
              </w:rPr>
              <w:t>A(·)</w:t>
            </w:r>
          </w:p>
        </w:tc>
        <w:tc>
          <w:tcPr>
            <w:tcW w:type="dxa" w:w="4680"/>
          </w:tcPr>
          <w:p>
            <w:pPr>
              <w:jc w:val="center"/>
            </w:pPr>
            <w:r>
              <w:rPr>
                <w:rFonts w:ascii="Times New Roman" w:hAnsi="Times New Roman"/>
                <w:sz w:val="18"/>
              </w:rPr>
              <w:t>Ontological anchoring operator (vocabulary projection)</w:t>
            </w:r>
          </w:p>
        </w:tc>
      </w:tr>
      <w:tr>
        <w:tc>
          <w:tcPr>
            <w:tcW w:type="dxa" w:w="4680"/>
          </w:tcPr>
          <w:p>
            <w:pPr>
              <w:jc w:val="center"/>
            </w:pPr>
            <w:r>
              <w:rPr>
                <w:rFonts w:ascii="Times New Roman" w:hAnsi="Times New Roman"/>
                <w:sz w:val="18"/>
              </w:rPr>
              <w:t>E(·)</w:t>
            </w:r>
          </w:p>
        </w:tc>
        <w:tc>
          <w:tcPr>
            <w:tcW w:type="dxa" w:w="4680"/>
          </w:tcPr>
          <w:p>
            <w:pPr>
              <w:jc w:val="center"/>
            </w:pPr>
            <w:r>
              <w:rPr>
                <w:rFonts w:ascii="Times New Roman" w:hAnsi="Times New Roman"/>
                <w:sz w:val="18"/>
              </w:rPr>
              <w:t>Epistemic filter operator (candidate selection)</w:t>
            </w:r>
          </w:p>
        </w:tc>
      </w:tr>
      <w:tr>
        <w:tc>
          <w:tcPr>
            <w:tcW w:type="dxa" w:w="4680"/>
          </w:tcPr>
          <w:p>
            <w:pPr>
              <w:jc w:val="center"/>
            </w:pPr>
            <w:r>
              <w:rPr>
                <w:rFonts w:ascii="Times New Roman" w:hAnsi="Times New Roman"/>
                <w:sz w:val="18"/>
              </w:rPr>
              <w:t>G_0</w:t>
            </w:r>
          </w:p>
        </w:tc>
        <w:tc>
          <w:tcPr>
            <w:tcW w:type="dxa" w:w="4680"/>
          </w:tcPr>
          <w:p>
            <w:pPr>
              <w:jc w:val="center"/>
            </w:pPr>
            <w:r>
              <w:rPr>
                <w:rFonts w:ascii="Times New Roman" w:hAnsi="Times New Roman"/>
                <w:sz w:val="18"/>
              </w:rPr>
              <w:t>Reference frozen model (original, not updated)</w:t>
            </w:r>
          </w:p>
        </w:tc>
      </w:tr>
      <w:tr>
        <w:tc>
          <w:tcPr>
            <w:tcW w:type="dxa" w:w="4680"/>
          </w:tcPr>
          <w:p>
            <w:pPr>
              <w:jc w:val="center"/>
            </w:pPr>
            <w:r>
              <w:rPr>
                <w:rFonts w:ascii="Times New Roman" w:hAnsi="Times New Roman"/>
                <w:sz w:val="18"/>
              </w:rPr>
              <w:t>K</w:t>
            </w:r>
          </w:p>
        </w:tc>
        <w:tc>
          <w:tcPr>
            <w:tcW w:type="dxa" w:w="4680"/>
          </w:tcPr>
          <w:p>
            <w:pPr>
              <w:jc w:val="center"/>
            </w:pPr>
            <w:r>
              <w:rPr>
                <w:rFonts w:ascii="Times New Roman" w:hAnsi="Times New Roman"/>
                <w:sz w:val="18"/>
              </w:rPr>
              <w:t>Number of epistemic filter candidates (K=3)</w:t>
            </w:r>
          </w:p>
        </w:tc>
      </w:tr>
      <w:tr>
        <w:tc>
          <w:tcPr>
            <w:tcW w:type="dxa" w:w="4680"/>
          </w:tcPr>
          <w:p>
            <w:pPr>
              <w:jc w:val="center"/>
            </w:pPr>
            <w:r>
              <w:rPr>
                <w:rFonts w:ascii="Times New Roman" w:hAnsi="Times New Roman"/>
                <w:sz w:val="18"/>
              </w:rPr>
              <w:t>TRR</w:t>
            </w:r>
          </w:p>
        </w:tc>
        <w:tc>
          <w:tcPr>
            <w:tcW w:type="dxa" w:w="4680"/>
          </w:tcPr>
          <w:p>
            <w:pPr>
              <w:jc w:val="center"/>
            </w:pPr>
            <w:r>
              <w:rPr>
                <w:rFonts w:ascii="Times New Roman" w:hAnsi="Times New Roman"/>
                <w:sz w:val="18"/>
              </w:rPr>
              <w:t>True rejection rate (higher = better discrimination)</w:t>
            </w:r>
          </w:p>
        </w:tc>
      </w:tr>
      <w:tr>
        <w:tc>
          <w:tcPr>
            <w:tcW w:type="dxa" w:w="4680"/>
          </w:tcPr>
          <w:p>
            <w:pPr>
              <w:jc w:val="center"/>
            </w:pPr>
            <w:r>
              <w:rPr>
                <w:rFonts w:ascii="Times New Roman" w:hAnsi="Times New Roman"/>
                <w:sz w:val="18"/>
              </w:rPr>
              <w:t>FRR</w:t>
            </w:r>
          </w:p>
        </w:tc>
        <w:tc>
          <w:tcPr>
            <w:tcW w:type="dxa" w:w="4680"/>
          </w:tcPr>
          <w:p>
            <w:pPr>
              <w:jc w:val="center"/>
            </w:pPr>
            <w:r>
              <w:rPr>
                <w:rFonts w:ascii="Times New Roman" w:hAnsi="Times New Roman"/>
                <w:sz w:val="18"/>
              </w:rPr>
              <w:t>False rejection rate (lower = better specificity)</w:t>
            </w:r>
          </w:p>
        </w:tc>
      </w:tr>
      <w:tr>
        <w:tc>
          <w:tcPr>
            <w:tcW w:type="dxa" w:w="4680"/>
          </w:tcPr>
          <w:p>
            <w:pPr>
              <w:jc w:val="center"/>
            </w:pPr>
            <w:r>
              <w:rPr>
                <w:rFonts w:ascii="Times New Roman" w:hAnsi="Times New Roman"/>
                <w:sz w:val="18"/>
              </w:rPr>
              <w:t>JSD(p,q)</w:t>
            </w:r>
          </w:p>
        </w:tc>
        <w:tc>
          <w:tcPr>
            <w:tcW w:type="dxa" w:w="4680"/>
          </w:tcPr>
          <w:p>
            <w:pPr>
              <w:jc w:val="center"/>
            </w:pPr>
            <w:r>
              <w:rPr>
                <w:rFonts w:ascii="Times New Roman" w:hAnsi="Times New Roman"/>
                <w:sz w:val="18"/>
              </w:rPr>
              <w:t>Jensen-Shannon divergence</w:t>
            </w:r>
          </w:p>
        </w:tc>
      </w:tr>
      <w:tr>
        <w:tc>
          <w:tcPr>
            <w:tcW w:type="dxa" w:w="4680"/>
          </w:tcPr>
          <w:p>
            <w:pPr>
              <w:jc w:val="center"/>
            </w:pPr>
            <w:r>
              <w:rPr>
                <w:rFonts w:ascii="Times New Roman" w:hAnsi="Times New Roman"/>
                <w:sz w:val="18"/>
              </w:rPr>
              <w:t>R_t</w:t>
            </w:r>
          </w:p>
        </w:tc>
        <w:tc>
          <w:tcPr>
            <w:tcW w:type="dxa" w:w="4680"/>
          </w:tcPr>
          <w:p>
            <w:pPr>
              <w:jc w:val="center"/>
            </w:pPr>
            <w:r>
              <w:rPr>
                <w:rFonts w:ascii="Times New Roman" w:hAnsi="Times New Roman"/>
                <w:sz w:val="18"/>
              </w:rPr>
              <w:t>Retrieval context at step t (BM25 passage)</w:t>
            </w:r>
          </w:p>
        </w:tc>
      </w:tr>
      <w:tr>
        <w:tc>
          <w:tcPr>
            <w:tcW w:type="dxa" w:w="4680"/>
          </w:tcPr>
          <w:p>
            <w:pPr>
              <w:jc w:val="center"/>
            </w:pPr>
            <w:r>
              <w:rPr>
                <w:rFonts w:ascii="Times New Roman" w:hAnsi="Times New Roman"/>
                <w:sz w:val="18"/>
              </w:rPr>
              <w:t>S_t</w:t>
            </w:r>
          </w:p>
        </w:tc>
        <w:tc>
          <w:tcPr>
            <w:tcW w:type="dxa" w:w="4680"/>
          </w:tcPr>
          <w:p>
            <w:pPr>
              <w:jc w:val="center"/>
            </w:pPr>
            <w:r>
              <w:rPr>
                <w:rFonts w:ascii="Times New Roman" w:hAnsi="Times New Roman"/>
                <w:sz w:val="18"/>
              </w:rPr>
              <w:t>Recursive stability: 1 − JSD(p_{x_t}, p_{x_0})</w:t>
            </w:r>
          </w:p>
        </w:tc>
      </w:tr>
      <w:tr>
        <w:tc>
          <w:tcPr>
            <w:tcW w:type="dxa" w:w="4680"/>
          </w:tcPr>
          <w:p>
            <w:pPr>
              <w:jc w:val="center"/>
            </w:pPr>
            <w:r>
              <w:rPr>
                <w:rFonts w:ascii="Times New Roman" w:hAnsi="Times New Roman"/>
                <w:sz w:val="18"/>
              </w:rPr>
              <w:t>τ</w:t>
            </w:r>
          </w:p>
        </w:tc>
        <w:tc>
          <w:tcPr>
            <w:tcW w:type="dxa" w:w="4680"/>
          </w:tcPr>
          <w:p>
            <w:pPr>
              <w:jc w:val="center"/>
            </w:pPr>
            <w:r>
              <w:rPr>
                <w:rFonts w:ascii="Times New Roman" w:hAnsi="Times New Roman"/>
                <w:sz w:val="18"/>
              </w:rPr>
              <w:t>Dynamic log-prob threshold</w:t>
            </w:r>
          </w:p>
        </w:tc>
      </w:tr>
    </w:tbl>
    <w:p>
      <w:r>
        <w:rPr>
          <w:i/>
          <w:sz w:val="18"/>
        </w:rPr>
        <w:t>Table 1. Notation used throughout this paper.</w:t>
      </w:r>
    </w:p>
    <w:p>
      <w:pPr>
        <w:spacing w:before="120" w:after="120"/>
        <w:jc w:val="center"/>
      </w:pPr>
      <w:r>
        <w:rPr>
          <w:i/>
          <w:sz w:val="20"/>
        </w:rPr>
        <w:t>x_{t+1} ~ P_θ(x | A(x_t), E(x_t), R_t)</w:t>
      </w:r>
    </w:p>
    <w:p>
      <w:r>
        <w:t>where R_t is the retrieval context at step t (BM25 passage prepended to prompt).</w:t>
      </w:r>
    </w:p>
    <w:p>
      <w:pPr>
        <w:spacing w:before="120" w:after="120"/>
        <w:jc w:val="center"/>
      </w:pPr>
      <w:r>
        <w:rPr>
          <w:i/>
          <w:sz w:val="20"/>
        </w:rPr>
        <w:t>S_t = 1 − JSD(p_{x_t}, p_{x_0})</w:t>
      </w:r>
    </w:p>
    <w:p>
      <w:r>
        <w:t>Higher S_t indicates the generated distribution remains closer to the seed. S_0 = 1.</w:t>
      </w:r>
    </w:p>
    <w:p>
      <w:pPr>
        <w:spacing w:before="120" w:after="120"/>
        <w:jc w:val="center"/>
      </w:pPr>
      <w:r>
        <w:rPr>
          <w:i/>
          <w:sz w:val="20"/>
        </w:rPr>
        <w:t>E(x) = argmax_{c ∈ C_K} log G_0(c | x)</w:t>
      </w:r>
    </w:p>
    <w:p>
      <w:pPr>
        <w:pStyle w:val="Heading1"/>
      </w:pPr>
      <w:r>
        <w:rPr>
          <w:rFonts w:ascii="Times New Roman" w:hAnsi="Times New Roman"/>
          <w:color w:val="000000"/>
        </w:rPr>
        <w:t>4. Related Work</w:t>
      </w:r>
    </w:p>
    <w:p>
      <w:pPr>
        <w:pStyle w:val="Heading2"/>
      </w:pPr>
      <w:r>
        <w:rPr>
          <w:rFonts w:ascii="Times New Roman" w:hAnsi="Times New Roman"/>
          <w:color w:val="000000"/>
        </w:rPr>
        <w:t>4.1 Recursive Synthetic Training and Collapse</w:t>
      </w:r>
    </w:p>
    <w:p>
      <w:pPr>
        <w:ind w:firstLine="360"/>
      </w:pPr>
      <w:r>
        <w:t>Empirical and theoretical analyses report failure modes in recursive loops [1, 2]. Mitigation regimes exist when real data are retained [3]. Drayson et al. [6] prevent collapse at training time via machine-generated text detection. Zhu et al. [7] prevent collapse via token-level corpus editing. Kováč et al. [8] show lexical diversity amplifies distributional shift. Keisha et al. [9] characterize knowledge collapse as factual accuracy eroding while surface fluency persists.</w:t>
      </w:r>
    </w:p>
    <w:p>
      <w:pPr>
        <w:pStyle w:val="Heading2"/>
      </w:pPr>
      <w:r>
        <w:rPr>
          <w:rFonts w:ascii="Times New Roman" w:hAnsi="Times New Roman"/>
          <w:color w:val="000000"/>
        </w:rPr>
        <w:t>4.2 RAG, Calibration, and Trust-Aware Orchestration</w:t>
      </w:r>
    </w:p>
    <w:p>
      <w:pPr>
        <w:ind w:firstLine="360"/>
      </w:pPr>
      <w:r>
        <w:t>RAG methods improve grounding [10] but retrieval alone does not eliminate faithfulness errors. Abbasi Yadkori et al. [11] provide an information-theoretic separation of epistemic from aleatoric uncertainty. Calibration diagnostics [12] are used as monitored variables, not truth proxies.</w:t>
      </w:r>
    </w:p>
    <w:p>
      <w:pPr>
        <w:pStyle w:val="Heading2"/>
      </w:pPr>
      <w:r>
        <w:rPr>
          <w:rFonts w:ascii="Times New Roman" w:hAnsi="Times New Roman"/>
          <w:color w:val="000000"/>
        </w:rPr>
        <w:t>4.3 Position Against Related Frameworks</w:t>
      </w:r>
    </w:p>
    <w:p>
      <w:pPr>
        <w:ind w:firstLine="360"/>
      </w:pPr>
      <w:r>
        <w:t>OEA differs from constitutional AI, self-refinement, self-consistency, and recursive self-improvement by operating as a generation-time, frozen-weights, calibration-directed protocol. Unlike RAG-only methods, OEA studies the interaction between retrieval, directional calibration, and recursive filtering. Unlike generic decoding constraints, it evaluates whether directionally aligned calibration improves epistemic discrimination under recursive exposure.</w:t>
      </w:r>
    </w:p>
    <w:p>
      <w:pPr>
        <w:pStyle w:val="Heading1"/>
      </w:pPr>
      <w:r>
        <w:rPr>
          <w:rFonts w:ascii="Times New Roman" w:hAnsi="Times New Roman"/>
          <w:color w:val="000000"/>
        </w:rPr>
        <w:t>5. Operational Definition of OEA Layers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Layer</w:t>
            </w:r>
          </w:p>
        </w:tc>
        <w:tc>
          <w:tcPr>
            <w:tcW w:type="dxa" w:w="2340"/>
          </w:tcPr>
          <w:p>
            <w:pPr>
              <w:jc w:val="center"/>
            </w:pPr>
            <w:r>
              <w:rPr>
                <w:rFonts w:ascii="Times New Roman" w:hAnsi="Times New Roman"/>
                <w:b/>
                <w:sz w:val="18"/>
              </w:rPr>
              <w:t>Computational Meaning</w:t>
            </w:r>
          </w:p>
        </w:tc>
        <w:tc>
          <w:tcPr>
            <w:tcW w:type="dxa" w:w="2340"/>
          </w:tcPr>
          <w:p>
            <w:pPr>
              <w:jc w:val="center"/>
            </w:pPr>
            <w:r>
              <w:rPr>
                <w:rFonts w:ascii="Times New Roman" w:hAnsi="Times New Roman"/>
                <w:b/>
                <w:sz w:val="18"/>
              </w:rPr>
              <w:t>Mechanism</w:t>
            </w:r>
          </w:p>
        </w:tc>
        <w:tc>
          <w:tcPr>
            <w:tcW w:type="dxa" w:w="2340"/>
          </w:tcPr>
          <w:p>
            <w:pPr>
              <w:jc w:val="center"/>
            </w:pPr>
            <w:r>
              <w:rPr>
                <w:rFonts w:ascii="Times New Roman" w:hAnsi="Times New Roman"/>
                <w:b/>
                <w:sz w:val="18"/>
              </w:rPr>
              <w:t>Observable Effect</w:t>
            </w:r>
          </w:p>
        </w:tc>
      </w:tr>
      <w:tr>
        <w:tc>
          <w:tcPr>
            <w:tcW w:type="dxa" w:w="2340"/>
          </w:tcPr>
          <w:p>
            <w:pPr>
              <w:jc w:val="center"/>
            </w:pPr>
            <w:r>
              <w:rPr>
                <w:rFonts w:ascii="Times New Roman" w:hAnsi="Times New Roman"/>
                <w:sz w:val="18"/>
              </w:rPr>
              <w:t>Ontological Anchoring</w:t>
            </w:r>
          </w:p>
        </w:tc>
        <w:tc>
          <w:tcPr>
            <w:tcW w:type="dxa" w:w="2340"/>
          </w:tcPr>
          <w:p>
            <w:pPr>
              <w:jc w:val="center"/>
            </w:pPr>
            <w:r>
              <w:rPr>
                <w:rFonts w:ascii="Times New Roman" w:hAnsi="Times New Roman"/>
                <w:sz w:val="18"/>
              </w:rPr>
              <w:t>Vocabulary domain constraint</w:t>
            </w:r>
          </w:p>
        </w:tc>
        <w:tc>
          <w:tcPr>
            <w:tcW w:type="dxa" w:w="2340"/>
          </w:tcPr>
          <w:p>
            <w:pPr>
              <w:jc w:val="center"/>
            </w:pPr>
            <w:r>
              <w:rPr>
                <w:rFonts w:ascii="Times New Roman" w:hAnsi="Times New Roman"/>
                <w:sz w:val="18"/>
              </w:rPr>
              <w:t>BM25 retrieval + vocab projection</w:t>
            </w:r>
          </w:p>
        </w:tc>
        <w:tc>
          <w:tcPr>
            <w:tcW w:type="dxa" w:w="2340"/>
          </w:tcPr>
          <w:p>
            <w:pPr>
              <w:jc w:val="center"/>
            </w:pPr>
            <w:r>
              <w:rPr>
                <w:rFonts w:ascii="Times New Roman" w:hAnsi="Times New Roman"/>
                <w:sz w:val="18"/>
              </w:rPr>
              <w:t>Higher in-distribution log-prob</w:t>
            </w:r>
          </w:p>
        </w:tc>
      </w:tr>
      <w:tr>
        <w:tc>
          <w:tcPr>
            <w:tcW w:type="dxa" w:w="2340"/>
          </w:tcPr>
          <w:p>
            <w:pPr>
              <w:jc w:val="center"/>
            </w:pPr>
            <w:r>
              <w:rPr>
                <w:rFonts w:ascii="Times New Roman" w:hAnsi="Times New Roman"/>
                <w:sz w:val="18"/>
              </w:rPr>
              <w:t>Epistemic Filtering</w:t>
            </w:r>
          </w:p>
        </w:tc>
        <w:tc>
          <w:tcPr>
            <w:tcW w:type="dxa" w:w="2340"/>
          </w:tcPr>
          <w:p>
            <w:pPr>
              <w:jc w:val="center"/>
            </w:pPr>
            <w:r>
              <w:rPr>
                <w:rFonts w:ascii="Times New Roman" w:hAnsi="Times New Roman"/>
                <w:sz w:val="18"/>
              </w:rPr>
              <w:t>Candidate quality discrimination</w:t>
            </w:r>
          </w:p>
        </w:tc>
        <w:tc>
          <w:tcPr>
            <w:tcW w:type="dxa" w:w="2340"/>
          </w:tcPr>
          <w:p>
            <w:pPr>
              <w:jc w:val="center"/>
            </w:pPr>
            <w:r>
              <w:rPr>
                <w:rFonts w:ascii="Times New Roman" w:hAnsi="Times New Roman"/>
                <w:sz w:val="18"/>
              </w:rPr>
              <w:t>K=3 candidates scored by log G_0; highest kept</w:t>
            </w:r>
          </w:p>
        </w:tc>
        <w:tc>
          <w:tcPr>
            <w:tcW w:type="dxa" w:w="2340"/>
          </w:tcPr>
          <w:p>
            <w:pPr>
              <w:jc w:val="center"/>
            </w:pPr>
            <w:r>
              <w:rPr>
                <w:rFonts w:ascii="Times New Roman" w:hAnsi="Times New Roman"/>
                <w:sz w:val="18"/>
              </w:rPr>
              <w:t>Improved TRR; reduced FRR</w:t>
            </w:r>
          </w:p>
        </w:tc>
      </w:tr>
      <w:tr>
        <w:tc>
          <w:tcPr>
            <w:tcW w:type="dxa" w:w="2340"/>
          </w:tcPr>
          <w:p>
            <w:pPr>
              <w:jc w:val="center"/>
            </w:pPr>
            <w:r>
              <w:rPr>
                <w:rFonts w:ascii="Times New Roman" w:hAnsi="Times New Roman"/>
                <w:sz w:val="18"/>
              </w:rPr>
              <w:t>Recursive Feedback</w:t>
            </w:r>
          </w:p>
        </w:tc>
        <w:tc>
          <w:tcPr>
            <w:tcW w:type="dxa" w:w="2340"/>
          </w:tcPr>
          <w:p>
            <w:pPr>
              <w:jc w:val="center"/>
            </w:pPr>
            <w:r>
              <w:rPr>
                <w:rFonts w:ascii="Times New Roman" w:hAnsi="Times New Roman"/>
                <w:sz w:val="18"/>
              </w:rPr>
              <w:t>Recursive persistence dynamics</w:t>
            </w:r>
          </w:p>
        </w:tc>
        <w:tc>
          <w:tcPr>
            <w:tcW w:type="dxa" w:w="2340"/>
          </w:tcPr>
          <w:p>
            <w:pPr>
              <w:jc w:val="center"/>
            </w:pPr>
            <w:r>
              <w:rPr>
                <w:rFonts w:ascii="Times New Roman" w:hAnsi="Times New Roman"/>
                <w:sz w:val="18"/>
              </w:rPr>
              <w:t>Output of step t conditions step t+1</w:t>
            </w:r>
          </w:p>
        </w:tc>
        <w:tc>
          <w:tcPr>
            <w:tcW w:type="dxa" w:w="2340"/>
          </w:tcPr>
          <w:p>
            <w:pPr>
              <w:jc w:val="center"/>
            </w:pPr>
            <w:r>
              <w:rPr>
                <w:rFonts w:ascii="Times New Roman" w:hAnsi="Times New Roman"/>
                <w:sz w:val="18"/>
              </w:rPr>
              <w:t>Stability retention over T iterations</w:t>
            </w:r>
          </w:p>
        </w:tc>
      </w:tr>
      <w:tr>
        <w:tc>
          <w:tcPr>
            <w:tcW w:type="dxa" w:w="2340"/>
          </w:tcPr>
          <w:p>
            <w:pPr>
              <w:jc w:val="center"/>
            </w:pPr>
            <w:r>
              <w:rPr>
                <w:rFonts w:ascii="Times New Roman" w:hAnsi="Times New Roman"/>
                <w:sz w:val="18"/>
              </w:rPr>
              <w:t>Calibration</w:t>
            </w:r>
          </w:p>
        </w:tc>
        <w:tc>
          <w:tcPr>
            <w:tcW w:type="dxa" w:w="2340"/>
          </w:tcPr>
          <w:p>
            <w:pPr>
              <w:jc w:val="center"/>
            </w:pPr>
            <w:r>
              <w:rPr>
                <w:rFonts w:ascii="Times New Roman" w:hAnsi="Times New Roman"/>
                <w:sz w:val="18"/>
              </w:rPr>
              <w:t>Directional shaping of distributions</w:t>
            </w:r>
          </w:p>
        </w:tc>
        <w:tc>
          <w:tcPr>
            <w:tcW w:type="dxa" w:w="2340"/>
          </w:tcPr>
          <w:p>
            <w:pPr>
              <w:jc w:val="center"/>
            </w:pPr>
            <w:r>
              <w:rPr>
                <w:rFonts w:ascii="Times New Roman" w:hAnsi="Times New Roman"/>
                <w:sz w:val="18"/>
              </w:rPr>
              <w:t>Selection by log G_0 score</w:t>
            </w:r>
          </w:p>
        </w:tc>
        <w:tc>
          <w:tcPr>
            <w:tcW w:type="dxa" w:w="2340"/>
          </w:tcPr>
          <w:p>
            <w:pPr>
              <w:jc w:val="center"/>
            </w:pPr>
            <w:r>
              <w:rPr>
                <w:rFonts w:ascii="Times New Roman" w:hAnsi="Times New Roman"/>
                <w:sz w:val="18"/>
              </w:rPr>
              <w:t>Correct direction improves TRR</w:t>
            </w:r>
          </w:p>
        </w:tc>
      </w:tr>
      <w:tr>
        <w:tc>
          <w:tcPr>
            <w:tcW w:type="dxa" w:w="2340"/>
          </w:tcPr>
          <w:p>
            <w:pPr>
              <w:jc w:val="center"/>
            </w:pPr>
            <w:r>
              <w:rPr>
                <w:rFonts w:ascii="Times New Roman" w:hAnsi="Times New Roman"/>
                <w:sz w:val="18"/>
              </w:rPr>
              <w:t>Miscalibration</w:t>
            </w:r>
          </w:p>
        </w:tc>
        <w:tc>
          <w:tcPr>
            <w:tcW w:type="dxa" w:w="2340"/>
          </w:tcPr>
          <w:p>
            <w:pPr>
              <w:jc w:val="center"/>
            </w:pPr>
            <w:r>
              <w:rPr>
                <w:rFonts w:ascii="Times New Roman" w:hAnsi="Times New Roman"/>
                <w:sz w:val="18"/>
              </w:rPr>
              <w:t>Anti-aligned shaping</w:t>
            </w:r>
          </w:p>
        </w:tc>
        <w:tc>
          <w:tcPr>
            <w:tcW w:type="dxa" w:w="2340"/>
          </w:tcPr>
          <w:p>
            <w:pPr>
              <w:jc w:val="center"/>
            </w:pPr>
            <w:r>
              <w:rPr>
                <w:rFonts w:ascii="Times New Roman" w:hAnsi="Times New Roman"/>
                <w:sz w:val="18"/>
              </w:rPr>
              <w:t>argmin replaces argmax</w:t>
            </w:r>
          </w:p>
        </w:tc>
        <w:tc>
          <w:tcPr>
            <w:tcW w:type="dxa" w:w="2340"/>
          </w:tcPr>
          <w:p>
            <w:pPr>
              <w:jc w:val="center"/>
            </w:pPr>
            <w:r>
              <w:rPr>
                <w:rFonts w:ascii="Times New Roman" w:hAnsi="Times New Roman"/>
                <w:sz w:val="18"/>
              </w:rPr>
              <w:t>TRR falls below control (H2)</w:t>
            </w:r>
          </w:p>
        </w:tc>
      </w:tr>
      <w:tr>
        <w:tc>
          <w:tcPr>
            <w:tcW w:type="dxa" w:w="2340"/>
          </w:tcPr>
          <w:p>
            <w:pPr>
              <w:jc w:val="center"/>
            </w:pPr>
            <w:r>
              <w:rPr>
                <w:rFonts w:ascii="Times New Roman" w:hAnsi="Times New Roman"/>
                <w:sz w:val="18"/>
              </w:rPr>
              <w:t>Recursive Drift</w:t>
            </w:r>
          </w:p>
        </w:tc>
        <w:tc>
          <w:tcPr>
            <w:tcW w:type="dxa" w:w="2340"/>
          </w:tcPr>
          <w:p>
            <w:pPr>
              <w:jc w:val="center"/>
            </w:pPr>
            <w:r>
              <w:rPr>
                <w:rFonts w:ascii="Times New Roman" w:hAnsi="Times New Roman"/>
                <w:sz w:val="18"/>
              </w:rPr>
              <w:t>Degradation across cycles</w:t>
            </w:r>
          </w:p>
        </w:tc>
        <w:tc>
          <w:tcPr>
            <w:tcW w:type="dxa" w:w="2340"/>
          </w:tcPr>
          <w:p>
            <w:pPr>
              <w:jc w:val="center"/>
            </w:pPr>
            <w:r>
              <w:rPr>
                <w:rFonts w:ascii="Times New Roman" w:hAnsi="Times New Roman"/>
                <w:sz w:val="18"/>
              </w:rPr>
              <w:t>Measured by 1 − S_t</w:t>
            </w:r>
          </w:p>
        </w:tc>
        <w:tc>
          <w:tcPr>
            <w:tcW w:type="dxa" w:w="2340"/>
          </w:tcPr>
          <w:p>
            <w:pPr>
              <w:jc w:val="center"/>
            </w:pPr>
            <w:r>
              <w:rPr>
                <w:rFonts w:ascii="Times New Roman" w:hAnsi="Times New Roman"/>
                <w:sz w:val="18"/>
              </w:rPr>
              <w:t>Higher drift = loss of fidelity</w:t>
            </w:r>
          </w:p>
        </w:tc>
      </w:tr>
    </w:tbl>
    <w:p>
      <w:r>
        <w:rPr>
          <w:i/>
          <w:sz w:val="18"/>
        </w:rPr>
        <w:t>Table 2. Operational definitions of OEA layers and concepts.</w:t>
      </w:r>
    </w:p>
    <w:p>
      <w:pPr>
        <w:pStyle w:val="Heading1"/>
      </w:pPr>
      <w:r>
        <w:rPr>
          <w:rFonts w:ascii="Times New Roman" w:hAnsi="Times New Roman"/>
          <w:color w:val="000000"/>
        </w:rPr>
        <w:t>6. Methodology</w:t>
      </w:r>
    </w:p>
    <w:p>
      <w:pPr>
        <w:ind w:firstLine="360"/>
      </w:pPr>
      <w:r>
        <w:t>Each generation step produces output that conditions the next step, forming a feedback loop over a shared context window. The protocol has three layers: (1) Ontological Anchoring: BM25 retrieval + vocabulary projection, (2) Epistemic Filtering: K=3 candidate scoring under the frozen reference model, (3) Recursive Feedback: output of step t conditions step t+1 via context accumulation.</w:t>
      </w:r>
    </w:p>
    <w:p>
      <w:pPr>
        <w:ind w:firstLine="360"/>
      </w:pPr>
      <w:r>
        <w:t>E1 (Recursive Stability): 10 recursive generations per seed. Compare control vs OEA on JSD and stability. E2 (Epistemic Friction): Inject synthetic falsehoods; measure TRR and FRR. Execution: 30 seeded runs per condition.</w:t>
      </w:r>
    </w:p>
    <w:p>
      <w:pPr>
        <w:pStyle w:val="Heading1"/>
      </w:pPr>
      <w:r>
        <w:rPr>
          <w:rFonts w:ascii="Times New Roman" w:hAnsi="Times New Roman"/>
          <w:color w:val="000000"/>
        </w:rPr>
        <w:t>7. Pilot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18"/>
              </w:rPr>
              <w:t>Metric</w:t>
            </w:r>
          </w:p>
        </w:tc>
        <w:tc>
          <w:tcPr>
            <w:tcW w:type="dxa" w:w="3120"/>
          </w:tcPr>
          <w:p>
            <w:pPr>
              <w:jc w:val="center"/>
            </w:pPr>
            <w:r>
              <w:rPr>
                <w:rFonts w:ascii="Times New Roman" w:hAnsi="Times New Roman"/>
                <w:b/>
                <w:sz w:val="18"/>
              </w:rPr>
              <w:t>Control</w:t>
            </w:r>
          </w:p>
        </w:tc>
        <w:tc>
          <w:tcPr>
            <w:tcW w:type="dxa" w:w="3120"/>
          </w:tcPr>
          <w:p>
            <w:pPr>
              <w:jc w:val="center"/>
            </w:pPr>
            <w:r>
              <w:rPr>
                <w:rFonts w:ascii="Times New Roman" w:hAnsi="Times New Roman"/>
                <w:b/>
                <w:sz w:val="18"/>
              </w:rPr>
              <w:t>OEA</w:t>
            </w:r>
          </w:p>
        </w:tc>
      </w:tr>
      <w:tr>
        <w:tc>
          <w:tcPr>
            <w:tcW w:type="dxa" w:w="3120"/>
          </w:tcPr>
          <w:p>
            <w:pPr>
              <w:jc w:val="center"/>
            </w:pPr>
            <w:r>
              <w:rPr>
                <w:rFonts w:ascii="Times New Roman" w:hAnsi="Times New Roman"/>
                <w:sz w:val="18"/>
              </w:rPr>
              <w:t>Stability score</w:t>
            </w:r>
          </w:p>
        </w:tc>
        <w:tc>
          <w:tcPr>
            <w:tcW w:type="dxa" w:w="3120"/>
          </w:tcPr>
          <w:p>
            <w:pPr>
              <w:jc w:val="center"/>
            </w:pPr>
            <w:r>
              <w:rPr>
                <w:rFonts w:ascii="Times New Roman" w:hAnsi="Times New Roman"/>
                <w:sz w:val="18"/>
              </w:rPr>
              <w:t>0.860 [0.841, 0.880]</w:t>
            </w:r>
          </w:p>
        </w:tc>
        <w:tc>
          <w:tcPr>
            <w:tcW w:type="dxa" w:w="3120"/>
          </w:tcPr>
          <w:p>
            <w:pPr>
              <w:jc w:val="center"/>
            </w:pPr>
            <w:r>
              <w:rPr>
                <w:rFonts w:ascii="Times New Roman" w:hAnsi="Times New Roman"/>
                <w:sz w:val="18"/>
              </w:rPr>
              <w:t>0.981 [0.978, 0.984]</w:t>
            </w:r>
          </w:p>
        </w:tc>
      </w:tr>
      <w:tr>
        <w:tc>
          <w:tcPr>
            <w:tcW w:type="dxa" w:w="3120"/>
          </w:tcPr>
          <w:p>
            <w:pPr>
              <w:jc w:val="center"/>
            </w:pPr>
            <w:r>
              <w:rPr>
                <w:rFonts w:ascii="Times New Roman" w:hAnsi="Times New Roman"/>
                <w:sz w:val="18"/>
              </w:rPr>
              <w:t>KL divergence</w:t>
            </w:r>
          </w:p>
        </w:tc>
        <w:tc>
          <w:tcPr>
            <w:tcW w:type="dxa" w:w="3120"/>
          </w:tcPr>
          <w:p>
            <w:pPr>
              <w:jc w:val="center"/>
            </w:pPr>
            <w:r>
              <w:rPr>
                <w:rFonts w:ascii="Times New Roman" w:hAnsi="Times New Roman"/>
                <w:sz w:val="18"/>
              </w:rPr>
              <w:t>2.660 [2.123, 3.197]</w:t>
            </w:r>
          </w:p>
        </w:tc>
        <w:tc>
          <w:tcPr>
            <w:tcW w:type="dxa" w:w="3120"/>
          </w:tcPr>
          <w:p>
            <w:pPr>
              <w:jc w:val="center"/>
            </w:pPr>
            <w:r>
              <w:rPr>
                <w:rFonts w:ascii="Times New Roman" w:hAnsi="Times New Roman"/>
                <w:sz w:val="18"/>
              </w:rPr>
              <w:t>0.287 [0.178, 0.397]</w:t>
            </w:r>
          </w:p>
        </w:tc>
      </w:tr>
      <w:tr>
        <w:tc>
          <w:tcPr>
            <w:tcW w:type="dxa" w:w="3120"/>
          </w:tcPr>
          <w:p>
            <w:pPr>
              <w:jc w:val="center"/>
            </w:pPr>
            <w:r>
              <w:rPr>
                <w:rFonts w:ascii="Times New Roman" w:hAnsi="Times New Roman"/>
                <w:sz w:val="18"/>
              </w:rPr>
              <w:t>TRR</w:t>
            </w:r>
          </w:p>
        </w:tc>
        <w:tc>
          <w:tcPr>
            <w:tcW w:type="dxa" w:w="3120"/>
          </w:tcPr>
          <w:p>
            <w:pPr>
              <w:jc w:val="center"/>
            </w:pPr>
            <w:r>
              <w:rPr>
                <w:rFonts w:ascii="Times New Roman" w:hAnsi="Times New Roman"/>
                <w:sz w:val="18"/>
              </w:rPr>
              <w:t>0.612 [0.603, 0.620]</w:t>
            </w:r>
          </w:p>
        </w:tc>
        <w:tc>
          <w:tcPr>
            <w:tcW w:type="dxa" w:w="3120"/>
          </w:tcPr>
          <w:p>
            <w:pPr>
              <w:jc w:val="center"/>
            </w:pPr>
            <w:r>
              <w:rPr>
                <w:rFonts w:ascii="Times New Roman" w:hAnsi="Times New Roman"/>
                <w:sz w:val="18"/>
              </w:rPr>
              <w:t>0.844 [0.838, 0.850]</w:t>
            </w:r>
          </w:p>
        </w:tc>
      </w:tr>
      <w:tr>
        <w:tc>
          <w:tcPr>
            <w:tcW w:type="dxa" w:w="3120"/>
          </w:tcPr>
          <w:p>
            <w:pPr>
              <w:jc w:val="center"/>
            </w:pPr>
            <w:r>
              <w:rPr>
                <w:rFonts w:ascii="Times New Roman" w:hAnsi="Times New Roman"/>
                <w:sz w:val="18"/>
              </w:rPr>
              <w:t>FRR</w:t>
            </w:r>
          </w:p>
        </w:tc>
        <w:tc>
          <w:tcPr>
            <w:tcW w:type="dxa" w:w="3120"/>
          </w:tcPr>
          <w:p>
            <w:pPr>
              <w:jc w:val="center"/>
            </w:pPr>
            <w:r>
              <w:rPr>
                <w:rFonts w:ascii="Times New Roman" w:hAnsi="Times New Roman"/>
                <w:sz w:val="18"/>
              </w:rPr>
              <w:t>0.233 [0.226, 0.239]</w:t>
            </w:r>
          </w:p>
        </w:tc>
        <w:tc>
          <w:tcPr>
            <w:tcW w:type="dxa" w:w="3120"/>
          </w:tcPr>
          <w:p>
            <w:pPr>
              <w:jc w:val="center"/>
            </w:pPr>
            <w:r>
              <w:rPr>
                <w:rFonts w:ascii="Times New Roman" w:hAnsi="Times New Roman"/>
                <w:sz w:val="18"/>
              </w:rPr>
              <w:t>0.121 [0.117, 0.126]</w:t>
            </w:r>
          </w:p>
        </w:tc>
      </w:tr>
    </w:tbl>
    <w:p>
      <w:r>
        <w:rPr>
          <w:i/>
          <w:sz w:val="18"/>
        </w:rPr>
        <w:t>Table 3. Pilot experiment metrics (mean, 95% CI). Bigram proxy harness.</w:t>
      </w:r>
    </w:p>
    <w:p>
      <w:pPr>
        <w:pStyle w:val="Heading2"/>
      </w:pPr>
      <w:r>
        <w:rPr>
          <w:rFonts w:ascii="Times New Roman" w:hAnsi="Times New Roman"/>
          <w:color w:val="000000"/>
        </w:rPr>
        <w:t>7.1 Ablation Study</w:t>
      </w:r>
    </w:p>
    <w:p>
      <w:pPr>
        <w:ind w:firstLine="360"/>
      </w:pPr>
      <w:r>
        <w:t>Miscalibration reversal: CQ &lt; 0.5 flips rejection direction: FRR rises to 0.651, TRR falls to 0.257—consistent with H2. ROUGE-L decline under anchoring: vocabulary anchoring concentrates token identity to the reference domain (improving log-probability) but does not preserve original phrase sequences. These metrics are orthogonal.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Variant</w:t>
            </w:r>
          </w:p>
        </w:tc>
        <w:tc>
          <w:tcPr>
            <w:tcW w:type="dxa" w:w="2340"/>
          </w:tcPr>
          <w:p>
            <w:pPr>
              <w:jc w:val="center"/>
            </w:pPr>
            <w:r>
              <w:rPr>
                <w:rFonts w:ascii="Times New Roman" w:hAnsi="Times New Roman"/>
                <w:b/>
                <w:sz w:val="18"/>
              </w:rPr>
              <w:t>Stability</w:t>
            </w:r>
          </w:p>
        </w:tc>
        <w:tc>
          <w:tcPr>
            <w:tcW w:type="dxa" w:w="2340"/>
          </w:tcPr>
          <w:p>
            <w:pPr>
              <w:jc w:val="center"/>
            </w:pPr>
            <w:r>
              <w:rPr>
                <w:rFonts w:ascii="Times New Roman" w:hAnsi="Times New Roman"/>
                <w:b/>
                <w:sz w:val="18"/>
              </w:rPr>
              <w:t>TRR</w:t>
            </w:r>
          </w:p>
        </w:tc>
        <w:tc>
          <w:tcPr>
            <w:tcW w:type="dxa" w:w="2340"/>
          </w:tcPr>
          <w:p>
            <w:pPr>
              <w:jc w:val="center"/>
            </w:pPr>
            <w:r>
              <w:rPr>
                <w:rFonts w:ascii="Times New Roman" w:hAnsi="Times New Roman"/>
                <w:b/>
                <w:sz w:val="18"/>
              </w:rPr>
              <w:t>FRR</w:t>
            </w:r>
          </w:p>
        </w:tc>
      </w:tr>
      <w:tr>
        <w:tc>
          <w:tcPr>
            <w:tcW w:type="dxa" w:w="2340"/>
          </w:tcPr>
          <w:p>
            <w:pPr>
              <w:jc w:val="center"/>
            </w:pPr>
            <w:r>
              <w:rPr>
                <w:rFonts w:ascii="Times New Roman" w:hAnsi="Times New Roman"/>
                <w:sz w:val="18"/>
              </w:rPr>
              <w:t>control_replace</w:t>
            </w:r>
          </w:p>
        </w:tc>
        <w:tc>
          <w:tcPr>
            <w:tcW w:type="dxa" w:w="2340"/>
          </w:tcPr>
          <w:p>
            <w:pPr>
              <w:jc w:val="center"/>
            </w:pPr>
            <w:r>
              <w:rPr>
                <w:rFonts w:ascii="Times New Roman" w:hAnsi="Times New Roman"/>
                <w:sz w:val="18"/>
              </w:rPr>
              <w:t>0.449</w:t>
            </w:r>
          </w:p>
        </w:tc>
        <w:tc>
          <w:tcPr>
            <w:tcW w:type="dxa" w:w="2340"/>
          </w:tcPr>
          <w:p>
            <w:pPr>
              <w:jc w:val="center"/>
            </w:pPr>
            <w:r>
              <w:rPr>
                <w:rFonts w:ascii="Times New Roman" w:hAnsi="Times New Roman"/>
                <w:sz w:val="18"/>
              </w:rPr>
              <w:t>0.582</w:t>
            </w:r>
          </w:p>
        </w:tc>
        <w:tc>
          <w:tcPr>
            <w:tcW w:type="dxa" w:w="2340"/>
          </w:tcPr>
          <w:p>
            <w:pPr>
              <w:jc w:val="center"/>
            </w:pPr>
            <w:r>
              <w:rPr>
                <w:rFonts w:ascii="Times New Roman" w:hAnsi="Times New Roman"/>
                <w:sz w:val="18"/>
              </w:rPr>
              <w:t>0.241</w:t>
            </w:r>
          </w:p>
        </w:tc>
      </w:tr>
      <w:tr>
        <w:tc>
          <w:tcPr>
            <w:tcW w:type="dxa" w:w="2340"/>
          </w:tcPr>
          <w:p>
            <w:pPr>
              <w:jc w:val="center"/>
            </w:pPr>
            <w:r>
              <w:rPr>
                <w:rFonts w:ascii="Times New Roman" w:hAnsi="Times New Roman"/>
                <w:sz w:val="18"/>
              </w:rPr>
              <w:t>control_accumulate</w:t>
            </w:r>
          </w:p>
        </w:tc>
        <w:tc>
          <w:tcPr>
            <w:tcW w:type="dxa" w:w="2340"/>
          </w:tcPr>
          <w:p>
            <w:pPr>
              <w:jc w:val="center"/>
            </w:pPr>
            <w:r>
              <w:rPr>
                <w:rFonts w:ascii="Times New Roman" w:hAnsi="Times New Roman"/>
                <w:sz w:val="18"/>
              </w:rPr>
              <w:t>0.943</w:t>
            </w:r>
          </w:p>
        </w:tc>
        <w:tc>
          <w:tcPr>
            <w:tcW w:type="dxa" w:w="2340"/>
          </w:tcPr>
          <w:p>
            <w:pPr>
              <w:jc w:val="center"/>
            </w:pPr>
            <w:r>
              <w:rPr>
                <w:rFonts w:ascii="Times New Roman" w:hAnsi="Times New Roman"/>
                <w:sz w:val="18"/>
              </w:rPr>
              <w:t>0.582</w:t>
            </w:r>
          </w:p>
        </w:tc>
        <w:tc>
          <w:tcPr>
            <w:tcW w:type="dxa" w:w="2340"/>
          </w:tcPr>
          <w:p>
            <w:pPr>
              <w:jc w:val="center"/>
            </w:pPr>
            <w:r>
              <w:rPr>
                <w:rFonts w:ascii="Times New Roman" w:hAnsi="Times New Roman"/>
                <w:sz w:val="18"/>
              </w:rPr>
              <w:t>0.241</w:t>
            </w:r>
          </w:p>
        </w:tc>
      </w:tr>
      <w:tr>
        <w:tc>
          <w:tcPr>
            <w:tcW w:type="dxa" w:w="2340"/>
          </w:tcPr>
          <w:p>
            <w:pPr>
              <w:jc w:val="center"/>
            </w:pPr>
            <w:r>
              <w:rPr>
                <w:rFonts w:ascii="Times New Roman" w:hAnsi="Times New Roman"/>
                <w:sz w:val="18"/>
              </w:rPr>
              <w:t>ablation_E</w:t>
            </w:r>
          </w:p>
        </w:tc>
        <w:tc>
          <w:tcPr>
            <w:tcW w:type="dxa" w:w="2340"/>
          </w:tcPr>
          <w:p>
            <w:pPr>
              <w:jc w:val="center"/>
            </w:pPr>
            <w:r>
              <w:rPr>
                <w:rFonts w:ascii="Times New Roman" w:hAnsi="Times New Roman"/>
                <w:sz w:val="18"/>
              </w:rPr>
              <w:t>0.935</w:t>
            </w:r>
          </w:p>
        </w:tc>
        <w:tc>
          <w:tcPr>
            <w:tcW w:type="dxa" w:w="2340"/>
          </w:tcPr>
          <w:p>
            <w:pPr>
              <w:jc w:val="center"/>
            </w:pPr>
            <w:r>
              <w:rPr>
                <w:rFonts w:ascii="Times New Roman" w:hAnsi="Times New Roman"/>
                <w:sz w:val="18"/>
              </w:rPr>
              <w:t>0.752</w:t>
            </w:r>
          </w:p>
        </w:tc>
        <w:tc>
          <w:tcPr>
            <w:tcW w:type="dxa" w:w="2340"/>
          </w:tcPr>
          <w:p>
            <w:pPr>
              <w:jc w:val="center"/>
            </w:pPr>
            <w:r>
              <w:rPr>
                <w:rFonts w:ascii="Times New Roman" w:hAnsi="Times New Roman"/>
                <w:sz w:val="18"/>
              </w:rPr>
              <w:t>0.134</w:t>
            </w:r>
          </w:p>
        </w:tc>
      </w:tr>
      <w:tr>
        <w:tc>
          <w:tcPr>
            <w:tcW w:type="dxa" w:w="2340"/>
          </w:tcPr>
          <w:p>
            <w:pPr>
              <w:jc w:val="center"/>
            </w:pPr>
            <w:r>
              <w:rPr>
                <w:rFonts w:ascii="Times New Roman" w:hAnsi="Times New Roman"/>
                <w:sz w:val="18"/>
              </w:rPr>
              <w:t>ablation_EA</w:t>
            </w:r>
          </w:p>
        </w:tc>
        <w:tc>
          <w:tcPr>
            <w:tcW w:type="dxa" w:w="2340"/>
          </w:tcPr>
          <w:p>
            <w:pPr>
              <w:jc w:val="center"/>
            </w:pPr>
            <w:r>
              <w:rPr>
                <w:rFonts w:ascii="Times New Roman" w:hAnsi="Times New Roman"/>
                <w:sz w:val="18"/>
              </w:rPr>
              <w:t>0.950</w:t>
            </w:r>
          </w:p>
        </w:tc>
        <w:tc>
          <w:tcPr>
            <w:tcW w:type="dxa" w:w="2340"/>
          </w:tcPr>
          <w:p>
            <w:pPr>
              <w:jc w:val="center"/>
            </w:pPr>
            <w:r>
              <w:rPr>
                <w:rFonts w:ascii="Times New Roman" w:hAnsi="Times New Roman"/>
                <w:sz w:val="18"/>
              </w:rPr>
              <w:t>0.806</w:t>
            </w:r>
          </w:p>
        </w:tc>
        <w:tc>
          <w:tcPr>
            <w:tcW w:type="dxa" w:w="2340"/>
          </w:tcPr>
          <w:p>
            <w:pPr>
              <w:jc w:val="center"/>
            </w:pPr>
            <w:r>
              <w:rPr>
                <w:rFonts w:ascii="Times New Roman" w:hAnsi="Times New Roman"/>
                <w:sz w:val="18"/>
              </w:rPr>
              <w:t>0.100</w:t>
            </w:r>
          </w:p>
        </w:tc>
      </w:tr>
      <w:tr>
        <w:tc>
          <w:tcPr>
            <w:tcW w:type="dxa" w:w="2340"/>
          </w:tcPr>
          <w:p>
            <w:pPr>
              <w:jc w:val="center"/>
            </w:pPr>
            <w:r>
              <w:rPr>
                <w:rFonts w:ascii="Times New Roman" w:hAnsi="Times New Roman"/>
                <w:sz w:val="18"/>
              </w:rPr>
              <w:t>ablation_miscalibrated</w:t>
            </w:r>
          </w:p>
        </w:tc>
        <w:tc>
          <w:tcPr>
            <w:tcW w:type="dxa" w:w="2340"/>
          </w:tcPr>
          <w:p>
            <w:pPr>
              <w:jc w:val="center"/>
            </w:pPr>
            <w:r>
              <w:rPr>
                <w:rFonts w:ascii="Times New Roman" w:hAnsi="Times New Roman"/>
                <w:sz w:val="18"/>
              </w:rPr>
              <w:t>0.943</w:t>
            </w:r>
          </w:p>
        </w:tc>
        <w:tc>
          <w:tcPr>
            <w:tcW w:type="dxa" w:w="2340"/>
          </w:tcPr>
          <w:p>
            <w:pPr>
              <w:jc w:val="center"/>
            </w:pPr>
            <w:r>
              <w:rPr>
                <w:rFonts w:ascii="Times New Roman" w:hAnsi="Times New Roman"/>
                <w:sz w:val="18"/>
              </w:rPr>
              <w:t>0.257</w:t>
            </w:r>
          </w:p>
        </w:tc>
        <w:tc>
          <w:tcPr>
            <w:tcW w:type="dxa" w:w="2340"/>
          </w:tcPr>
          <w:p>
            <w:pPr>
              <w:jc w:val="center"/>
            </w:pPr>
            <w:r>
              <w:rPr>
                <w:rFonts w:ascii="Times New Roman" w:hAnsi="Times New Roman"/>
                <w:sz w:val="18"/>
              </w:rPr>
              <w:t>0.651</w:t>
            </w:r>
          </w:p>
        </w:tc>
      </w:tr>
      <w:tr>
        <w:tc>
          <w:tcPr>
            <w:tcW w:type="dxa" w:w="2340"/>
          </w:tcPr>
          <w:p>
            <w:pPr>
              <w:jc w:val="center"/>
            </w:pPr>
            <w:r>
              <w:rPr>
                <w:rFonts w:ascii="Times New Roman" w:hAnsi="Times New Roman"/>
                <w:sz w:val="18"/>
              </w:rPr>
              <w:t>oea_full</w:t>
            </w:r>
          </w:p>
        </w:tc>
        <w:tc>
          <w:tcPr>
            <w:tcW w:type="dxa" w:w="2340"/>
          </w:tcPr>
          <w:p>
            <w:pPr>
              <w:jc w:val="center"/>
            </w:pPr>
            <w:r>
              <w:rPr>
                <w:rFonts w:ascii="Times New Roman" w:hAnsi="Times New Roman"/>
                <w:sz w:val="18"/>
              </w:rPr>
              <w:t>0.937</w:t>
            </w:r>
          </w:p>
        </w:tc>
        <w:tc>
          <w:tcPr>
            <w:tcW w:type="dxa" w:w="2340"/>
          </w:tcPr>
          <w:p>
            <w:pPr>
              <w:jc w:val="center"/>
            </w:pPr>
            <w:r>
              <w:rPr>
                <w:rFonts w:ascii="Times New Roman" w:hAnsi="Times New Roman"/>
                <w:sz w:val="18"/>
              </w:rPr>
              <w:t>0.836</w:t>
            </w:r>
          </w:p>
        </w:tc>
        <w:tc>
          <w:tcPr>
            <w:tcW w:type="dxa" w:w="2340"/>
          </w:tcPr>
          <w:p>
            <w:pPr>
              <w:jc w:val="center"/>
            </w:pPr>
            <w:r>
              <w:rPr>
                <w:rFonts w:ascii="Times New Roman" w:hAnsi="Times New Roman"/>
                <w:sz w:val="18"/>
              </w:rPr>
              <w:t>0.081</w:t>
            </w:r>
          </w:p>
        </w:tc>
      </w:tr>
    </w:tbl>
    <w:p>
      <w:r>
        <w:rPr>
          <w:i/>
          <w:sz w:val="18"/>
        </w:rPr>
        <w:t>Table 4. Ablation results (648 runs each, two domain corpora). d=4.56, p&lt;0.001.</w:t>
      </w:r>
    </w:p>
    <w:p>
      <w:pPr>
        <w:pStyle w:val="Heading1"/>
      </w:pPr>
      <w:r>
        <w:rPr>
          <w:rFonts w:ascii="Times New Roman" w:hAnsi="Times New Roman"/>
          <w:color w:val="000000"/>
        </w:rPr>
        <w:t>8. Real LLM Validation</w:t>
      </w:r>
    </w:p>
    <w:p>
      <w:pPr>
        <w:ind w:firstLine="360"/>
      </w:pPr>
      <w:r>
        <w:t>Four models spanning three architecture families: distilgpt2 (82M), gpt2 (124M) from GPT-2, gpt-neo-125M (125M) from GPT-Neo (local attention), and Qwen2.5-1.5B (1.5B) from Qwen (RoPE, GQA, SwiGLU; September 2024). The Qwen model is 10× larger with modern architecture, addressing the small-model artifact concern.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Model</w:t>
            </w:r>
          </w:p>
        </w:tc>
        <w:tc>
          <w:tcPr>
            <w:tcW w:type="dxa" w:w="1872"/>
          </w:tcPr>
          <w:p>
            <w:pPr>
              <w:jc w:val="center"/>
            </w:pPr>
            <w:r>
              <w:rPr>
                <w:rFonts w:ascii="Times New Roman" w:hAnsi="Times New Roman"/>
                <w:b/>
                <w:sz w:val="18"/>
              </w:rPr>
              <w:t>Variant</w:t>
            </w:r>
          </w:p>
        </w:tc>
        <w:tc>
          <w:tcPr>
            <w:tcW w:type="dxa" w:w="1872"/>
          </w:tcPr>
          <w:p>
            <w:pPr>
              <w:jc w:val="center"/>
            </w:pPr>
            <w:r>
              <w:rPr>
                <w:rFonts w:ascii="Times New Roman" w:hAnsi="Times New Roman"/>
                <w:b/>
                <w:sz w:val="18"/>
              </w:rPr>
              <w:t>Log-prob Δ</w:t>
            </w:r>
          </w:p>
        </w:tc>
        <w:tc>
          <w:tcPr>
            <w:tcW w:type="dxa" w:w="1872"/>
          </w:tcPr>
          <w:p>
            <w:pPr>
              <w:jc w:val="center"/>
            </w:pPr>
            <w:r>
              <w:rPr>
                <w:rFonts w:ascii="Times New Roman" w:hAnsi="Times New Roman"/>
                <w:b/>
                <w:sz w:val="18"/>
              </w:rPr>
              <w:t>JSD</w:t>
            </w:r>
          </w:p>
        </w:tc>
        <w:tc>
          <w:tcPr>
            <w:tcW w:type="dxa" w:w="1872"/>
          </w:tcPr>
          <w:p>
            <w:pPr>
              <w:jc w:val="center"/>
            </w:pPr>
            <w:r>
              <w:rPr>
                <w:rFonts w:ascii="Times New Roman" w:hAnsi="Times New Roman"/>
                <w:b/>
                <w:sz w:val="18"/>
              </w:rPr>
              <w:t>ROUGE-L</w:t>
            </w:r>
          </w:p>
        </w:tc>
      </w:tr>
      <w:tr>
        <w:tc>
          <w:tcPr>
            <w:tcW w:type="dxa" w:w="1872"/>
          </w:tcPr>
          <w:p>
            <w:pPr>
              <w:jc w:val="center"/>
            </w:pPr>
            <w:r>
              <w:rPr>
                <w:rFonts w:ascii="Times New Roman" w:hAnsi="Times New Roman"/>
                <w:sz w:val="18"/>
              </w:rPr>
              <w:t>distilgpt2</w:t>
            </w:r>
          </w:p>
        </w:tc>
        <w:tc>
          <w:tcPr>
            <w:tcW w:type="dxa" w:w="1872"/>
          </w:tcPr>
          <w:p>
            <w:pPr>
              <w:jc w:val="center"/>
            </w:pPr>
            <w:r>
              <w:rPr>
                <w:rFonts w:ascii="Times New Roman" w:hAnsi="Times New Roman"/>
                <w:sz w:val="18"/>
              </w:rPr>
              <w:t>control</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0.459</w:t>
            </w:r>
          </w:p>
        </w:tc>
        <w:tc>
          <w:tcPr>
            <w:tcW w:type="dxa" w:w="1872"/>
          </w:tcPr>
          <w:p>
            <w:pPr>
              <w:jc w:val="center"/>
            </w:pPr>
            <w:r>
              <w:rPr>
                <w:rFonts w:ascii="Times New Roman" w:hAnsi="Times New Roman"/>
                <w:sz w:val="18"/>
              </w:rPr>
              <w:t>0.046</w:t>
            </w:r>
          </w:p>
        </w:tc>
      </w:tr>
      <w:tr>
        <w:tc>
          <w:tcPr>
            <w:tcW w:type="dxa" w:w="1872"/>
          </w:tcPr>
          <w:p>
            <w:pPr>
              <w:jc w:val="center"/>
            </w:pPr>
            <w:r>
              <w:rPr>
                <w:rFonts w:ascii="Times New Roman" w:hAnsi="Times New Roman"/>
                <w:sz w:val="18"/>
              </w:rPr>
            </w:r>
          </w:p>
        </w:tc>
        <w:tc>
          <w:tcPr>
            <w:tcW w:type="dxa" w:w="1872"/>
          </w:tcPr>
          <w:p>
            <w:pPr>
              <w:jc w:val="center"/>
            </w:pPr>
            <w:r>
              <w:rPr>
                <w:rFonts w:ascii="Times New Roman" w:hAnsi="Times New Roman"/>
                <w:sz w:val="18"/>
              </w:rPr>
              <w:t>oea_anchored</w:t>
            </w:r>
          </w:p>
        </w:tc>
        <w:tc>
          <w:tcPr>
            <w:tcW w:type="dxa" w:w="1872"/>
          </w:tcPr>
          <w:p>
            <w:pPr>
              <w:jc w:val="center"/>
            </w:pPr>
            <w:r>
              <w:rPr>
                <w:rFonts w:ascii="Times New Roman" w:hAnsi="Times New Roman"/>
                <w:sz w:val="18"/>
              </w:rPr>
              <w:t>+0.62</w:t>
            </w:r>
          </w:p>
        </w:tc>
        <w:tc>
          <w:tcPr>
            <w:tcW w:type="dxa" w:w="1872"/>
          </w:tcPr>
          <w:p>
            <w:pPr>
              <w:jc w:val="center"/>
            </w:pPr>
            <w:r>
              <w:rPr>
                <w:rFonts w:ascii="Times New Roman" w:hAnsi="Times New Roman"/>
                <w:sz w:val="18"/>
              </w:rPr>
              <w:t>0.471</w:t>
            </w:r>
          </w:p>
        </w:tc>
        <w:tc>
          <w:tcPr>
            <w:tcW w:type="dxa" w:w="1872"/>
          </w:tcPr>
          <w:p>
            <w:pPr>
              <w:jc w:val="center"/>
            </w:pPr>
            <w:r>
              <w:rPr>
                <w:rFonts w:ascii="Times New Roman" w:hAnsi="Times New Roman"/>
                <w:sz w:val="18"/>
              </w:rPr>
              <w:t>0.038</w:t>
            </w:r>
          </w:p>
        </w:tc>
      </w:tr>
      <w:tr>
        <w:tc>
          <w:tcPr>
            <w:tcW w:type="dxa" w:w="1872"/>
          </w:tcPr>
          <w:p>
            <w:pPr>
              <w:jc w:val="center"/>
            </w:pPr>
            <w:r>
              <w:rPr>
                <w:rFonts w:ascii="Times New Roman" w:hAnsi="Times New Roman"/>
                <w:sz w:val="18"/>
              </w:rPr>
            </w:r>
          </w:p>
        </w:tc>
        <w:tc>
          <w:tcPr>
            <w:tcW w:type="dxa" w:w="1872"/>
          </w:tcPr>
          <w:p>
            <w:pPr>
              <w:jc w:val="center"/>
            </w:pPr>
            <w:r>
              <w:rPr>
                <w:rFonts w:ascii="Times New Roman" w:hAnsi="Times New Roman"/>
                <w:sz w:val="18"/>
              </w:rPr>
              <w:t>oea_miscalib.</w:t>
            </w:r>
          </w:p>
        </w:tc>
        <w:tc>
          <w:tcPr>
            <w:tcW w:type="dxa" w:w="1872"/>
          </w:tcPr>
          <w:p>
            <w:pPr>
              <w:jc w:val="center"/>
            </w:pPr>
            <w:r>
              <w:rPr>
                <w:rFonts w:ascii="Times New Roman" w:hAnsi="Times New Roman"/>
                <w:sz w:val="18"/>
              </w:rPr>
              <w:t>−1.14</w:t>
            </w:r>
          </w:p>
        </w:tc>
        <w:tc>
          <w:tcPr>
            <w:tcW w:type="dxa" w:w="1872"/>
          </w:tcPr>
          <w:p>
            <w:pPr>
              <w:jc w:val="center"/>
            </w:pPr>
            <w:r>
              <w:rPr>
                <w:rFonts w:ascii="Times New Roman" w:hAnsi="Times New Roman"/>
                <w:sz w:val="18"/>
              </w:rPr>
              <w:t>0.356</w:t>
            </w:r>
          </w:p>
        </w:tc>
        <w:tc>
          <w:tcPr>
            <w:tcW w:type="dxa" w:w="1872"/>
          </w:tcPr>
          <w:p>
            <w:pPr>
              <w:jc w:val="center"/>
            </w:pPr>
            <w:r>
              <w:rPr>
                <w:rFonts w:ascii="Times New Roman" w:hAnsi="Times New Roman"/>
                <w:sz w:val="18"/>
              </w:rPr>
              <w:t>0.054</w:t>
            </w:r>
          </w:p>
        </w:tc>
      </w:tr>
      <w:tr>
        <w:tc>
          <w:tcPr>
            <w:tcW w:type="dxa" w:w="1872"/>
          </w:tcPr>
          <w:p>
            <w:pPr>
              <w:jc w:val="center"/>
            </w:pPr>
            <w:r>
              <w:rPr>
                <w:rFonts w:ascii="Times New Roman" w:hAnsi="Times New Roman"/>
                <w:sz w:val="18"/>
              </w:rPr>
              <w:t>gpt2</w:t>
            </w:r>
          </w:p>
        </w:tc>
        <w:tc>
          <w:tcPr>
            <w:tcW w:type="dxa" w:w="1872"/>
          </w:tcPr>
          <w:p>
            <w:pPr>
              <w:jc w:val="center"/>
            </w:pPr>
            <w:r>
              <w:rPr>
                <w:rFonts w:ascii="Times New Roman" w:hAnsi="Times New Roman"/>
                <w:sz w:val="18"/>
              </w:rPr>
              <w:t>control</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0.363</w:t>
            </w:r>
          </w:p>
        </w:tc>
        <w:tc>
          <w:tcPr>
            <w:tcW w:type="dxa" w:w="1872"/>
          </w:tcPr>
          <w:p>
            <w:pPr>
              <w:jc w:val="center"/>
            </w:pPr>
            <w:r>
              <w:rPr>
                <w:rFonts w:ascii="Times New Roman" w:hAnsi="Times New Roman"/>
                <w:sz w:val="18"/>
              </w:rPr>
              <w:t>0.047</w:t>
            </w:r>
          </w:p>
        </w:tc>
      </w:tr>
      <w:tr>
        <w:tc>
          <w:tcPr>
            <w:tcW w:type="dxa" w:w="1872"/>
          </w:tcPr>
          <w:p>
            <w:pPr>
              <w:jc w:val="center"/>
            </w:pPr>
            <w:r>
              <w:rPr>
                <w:rFonts w:ascii="Times New Roman" w:hAnsi="Times New Roman"/>
                <w:sz w:val="18"/>
              </w:rPr>
            </w:r>
          </w:p>
        </w:tc>
        <w:tc>
          <w:tcPr>
            <w:tcW w:type="dxa" w:w="1872"/>
          </w:tcPr>
          <w:p>
            <w:pPr>
              <w:jc w:val="center"/>
            </w:pPr>
            <w:r>
              <w:rPr>
                <w:rFonts w:ascii="Times New Roman" w:hAnsi="Times New Roman"/>
                <w:sz w:val="18"/>
              </w:rPr>
              <w:t>oea_anchored</w:t>
            </w:r>
          </w:p>
        </w:tc>
        <w:tc>
          <w:tcPr>
            <w:tcW w:type="dxa" w:w="1872"/>
          </w:tcPr>
          <w:p>
            <w:pPr>
              <w:jc w:val="center"/>
            </w:pPr>
            <w:r>
              <w:rPr>
                <w:rFonts w:ascii="Times New Roman" w:hAnsi="Times New Roman"/>
                <w:sz w:val="18"/>
              </w:rPr>
              <w:t>+1.63</w:t>
            </w:r>
          </w:p>
        </w:tc>
        <w:tc>
          <w:tcPr>
            <w:tcW w:type="dxa" w:w="1872"/>
          </w:tcPr>
          <w:p>
            <w:pPr>
              <w:jc w:val="center"/>
            </w:pPr>
            <w:r>
              <w:rPr>
                <w:rFonts w:ascii="Times New Roman" w:hAnsi="Times New Roman"/>
                <w:sz w:val="18"/>
              </w:rPr>
              <w:t>0.438</w:t>
            </w:r>
          </w:p>
        </w:tc>
        <w:tc>
          <w:tcPr>
            <w:tcW w:type="dxa" w:w="1872"/>
          </w:tcPr>
          <w:p>
            <w:pPr>
              <w:jc w:val="center"/>
            </w:pPr>
            <w:r>
              <w:rPr>
                <w:rFonts w:ascii="Times New Roman" w:hAnsi="Times New Roman"/>
                <w:sz w:val="18"/>
              </w:rPr>
              <w:t>0.031</w:t>
            </w:r>
          </w:p>
        </w:tc>
      </w:tr>
      <w:tr>
        <w:tc>
          <w:tcPr>
            <w:tcW w:type="dxa" w:w="1872"/>
          </w:tcPr>
          <w:p>
            <w:pPr>
              <w:jc w:val="center"/>
            </w:pPr>
            <w:r>
              <w:rPr>
                <w:rFonts w:ascii="Times New Roman" w:hAnsi="Times New Roman"/>
                <w:sz w:val="18"/>
              </w:rPr>
            </w:r>
          </w:p>
        </w:tc>
        <w:tc>
          <w:tcPr>
            <w:tcW w:type="dxa" w:w="1872"/>
          </w:tcPr>
          <w:p>
            <w:pPr>
              <w:jc w:val="center"/>
            </w:pPr>
            <w:r>
              <w:rPr>
                <w:rFonts w:ascii="Times New Roman" w:hAnsi="Times New Roman"/>
                <w:sz w:val="18"/>
              </w:rPr>
              <w:t>oea_miscalib.</w:t>
            </w:r>
          </w:p>
        </w:tc>
        <w:tc>
          <w:tcPr>
            <w:tcW w:type="dxa" w:w="1872"/>
          </w:tcPr>
          <w:p>
            <w:pPr>
              <w:jc w:val="center"/>
            </w:pPr>
            <w:r>
              <w:rPr>
                <w:rFonts w:ascii="Times New Roman" w:hAnsi="Times New Roman"/>
                <w:sz w:val="18"/>
              </w:rPr>
              <w:t>−0.55</w:t>
            </w:r>
          </w:p>
        </w:tc>
        <w:tc>
          <w:tcPr>
            <w:tcW w:type="dxa" w:w="1872"/>
          </w:tcPr>
          <w:p>
            <w:pPr>
              <w:jc w:val="center"/>
            </w:pPr>
            <w:r>
              <w:rPr>
                <w:rFonts w:ascii="Times New Roman" w:hAnsi="Times New Roman"/>
                <w:sz w:val="18"/>
              </w:rPr>
              <w:t>0.384</w:t>
            </w:r>
          </w:p>
        </w:tc>
        <w:tc>
          <w:tcPr>
            <w:tcW w:type="dxa" w:w="1872"/>
          </w:tcPr>
          <w:p>
            <w:pPr>
              <w:jc w:val="center"/>
            </w:pPr>
            <w:r>
              <w:rPr>
                <w:rFonts w:ascii="Times New Roman" w:hAnsi="Times New Roman"/>
                <w:sz w:val="18"/>
              </w:rPr>
              <w:t>0.055</w:t>
            </w:r>
          </w:p>
        </w:tc>
      </w:tr>
      <w:tr>
        <w:tc>
          <w:tcPr>
            <w:tcW w:type="dxa" w:w="1872"/>
          </w:tcPr>
          <w:p>
            <w:pPr>
              <w:jc w:val="center"/>
            </w:pPr>
            <w:r>
              <w:rPr>
                <w:rFonts w:ascii="Times New Roman" w:hAnsi="Times New Roman"/>
                <w:sz w:val="18"/>
              </w:rPr>
              <w:t>gpt-neo</w:t>
            </w:r>
          </w:p>
        </w:tc>
        <w:tc>
          <w:tcPr>
            <w:tcW w:type="dxa" w:w="1872"/>
          </w:tcPr>
          <w:p>
            <w:pPr>
              <w:jc w:val="center"/>
            </w:pPr>
            <w:r>
              <w:rPr>
                <w:rFonts w:ascii="Times New Roman" w:hAnsi="Times New Roman"/>
                <w:sz w:val="18"/>
              </w:rPr>
              <w:t>control</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0.408</w:t>
            </w:r>
          </w:p>
        </w:tc>
        <w:tc>
          <w:tcPr>
            <w:tcW w:type="dxa" w:w="1872"/>
          </w:tcPr>
          <w:p>
            <w:pPr>
              <w:jc w:val="center"/>
            </w:pPr>
            <w:r>
              <w:rPr>
                <w:rFonts w:ascii="Times New Roman" w:hAnsi="Times New Roman"/>
                <w:sz w:val="18"/>
              </w:rPr>
              <w:t>0.049</w:t>
            </w:r>
          </w:p>
        </w:tc>
      </w:tr>
      <w:tr>
        <w:tc>
          <w:tcPr>
            <w:tcW w:type="dxa" w:w="1872"/>
          </w:tcPr>
          <w:p>
            <w:pPr>
              <w:jc w:val="center"/>
            </w:pPr>
            <w:r>
              <w:rPr>
                <w:rFonts w:ascii="Times New Roman" w:hAnsi="Times New Roman"/>
                <w:sz w:val="18"/>
              </w:rPr>
            </w:r>
          </w:p>
        </w:tc>
        <w:tc>
          <w:tcPr>
            <w:tcW w:type="dxa" w:w="1872"/>
          </w:tcPr>
          <w:p>
            <w:pPr>
              <w:jc w:val="center"/>
            </w:pPr>
            <w:r>
              <w:rPr>
                <w:rFonts w:ascii="Times New Roman" w:hAnsi="Times New Roman"/>
                <w:sz w:val="18"/>
              </w:rPr>
              <w:t>oea_anchored</w:t>
            </w:r>
          </w:p>
        </w:tc>
        <w:tc>
          <w:tcPr>
            <w:tcW w:type="dxa" w:w="1872"/>
          </w:tcPr>
          <w:p>
            <w:pPr>
              <w:jc w:val="center"/>
            </w:pPr>
            <w:r>
              <w:rPr>
                <w:rFonts w:ascii="Times New Roman" w:hAnsi="Times New Roman"/>
                <w:sz w:val="18"/>
              </w:rPr>
              <w:t>+0.82</w:t>
            </w:r>
          </w:p>
        </w:tc>
        <w:tc>
          <w:tcPr>
            <w:tcW w:type="dxa" w:w="1872"/>
          </w:tcPr>
          <w:p>
            <w:pPr>
              <w:jc w:val="center"/>
            </w:pPr>
            <w:r>
              <w:rPr>
                <w:rFonts w:ascii="Times New Roman" w:hAnsi="Times New Roman"/>
                <w:sz w:val="18"/>
              </w:rPr>
              <w:t>0.442</w:t>
            </w:r>
          </w:p>
        </w:tc>
        <w:tc>
          <w:tcPr>
            <w:tcW w:type="dxa" w:w="1872"/>
          </w:tcPr>
          <w:p>
            <w:pPr>
              <w:jc w:val="center"/>
            </w:pPr>
            <w:r>
              <w:rPr>
                <w:rFonts w:ascii="Times New Roman" w:hAnsi="Times New Roman"/>
                <w:sz w:val="18"/>
              </w:rPr>
              <w:t>0.037</w:t>
            </w:r>
          </w:p>
        </w:tc>
      </w:tr>
      <w:tr>
        <w:tc>
          <w:tcPr>
            <w:tcW w:type="dxa" w:w="1872"/>
          </w:tcPr>
          <w:p>
            <w:pPr>
              <w:jc w:val="center"/>
            </w:pPr>
            <w:r>
              <w:rPr>
                <w:rFonts w:ascii="Times New Roman" w:hAnsi="Times New Roman"/>
                <w:sz w:val="18"/>
              </w:rPr>
            </w:r>
          </w:p>
        </w:tc>
        <w:tc>
          <w:tcPr>
            <w:tcW w:type="dxa" w:w="1872"/>
          </w:tcPr>
          <w:p>
            <w:pPr>
              <w:jc w:val="center"/>
            </w:pPr>
            <w:r>
              <w:rPr>
                <w:rFonts w:ascii="Times New Roman" w:hAnsi="Times New Roman"/>
                <w:sz w:val="18"/>
              </w:rPr>
              <w:t>oea_miscalib.</w:t>
            </w:r>
          </w:p>
        </w:tc>
        <w:tc>
          <w:tcPr>
            <w:tcW w:type="dxa" w:w="1872"/>
          </w:tcPr>
          <w:p>
            <w:pPr>
              <w:jc w:val="center"/>
            </w:pPr>
            <w:r>
              <w:rPr>
                <w:rFonts w:ascii="Times New Roman" w:hAnsi="Times New Roman"/>
                <w:sz w:val="18"/>
              </w:rPr>
              <w:t>−1.37</w:t>
            </w:r>
          </w:p>
        </w:tc>
        <w:tc>
          <w:tcPr>
            <w:tcW w:type="dxa" w:w="1872"/>
          </w:tcPr>
          <w:p>
            <w:pPr>
              <w:jc w:val="center"/>
            </w:pPr>
            <w:r>
              <w:rPr>
                <w:rFonts w:ascii="Times New Roman" w:hAnsi="Times New Roman"/>
                <w:sz w:val="18"/>
              </w:rPr>
              <w:t>0.347</w:t>
            </w:r>
          </w:p>
        </w:tc>
        <w:tc>
          <w:tcPr>
            <w:tcW w:type="dxa" w:w="1872"/>
          </w:tcPr>
          <w:p>
            <w:pPr>
              <w:jc w:val="center"/>
            </w:pPr>
            <w:r>
              <w:rPr>
                <w:rFonts w:ascii="Times New Roman" w:hAnsi="Times New Roman"/>
                <w:sz w:val="18"/>
              </w:rPr>
              <w:t>0.054</w:t>
            </w:r>
          </w:p>
        </w:tc>
      </w:tr>
      <w:tr>
        <w:tc>
          <w:tcPr>
            <w:tcW w:type="dxa" w:w="1872"/>
          </w:tcPr>
          <w:p>
            <w:pPr>
              <w:jc w:val="center"/>
            </w:pPr>
            <w:r>
              <w:rPr>
                <w:rFonts w:ascii="Times New Roman" w:hAnsi="Times New Roman"/>
                <w:sz w:val="18"/>
              </w:rPr>
              <w:t>Qwen2.5</w:t>
            </w:r>
          </w:p>
        </w:tc>
        <w:tc>
          <w:tcPr>
            <w:tcW w:type="dxa" w:w="1872"/>
          </w:tcPr>
          <w:p>
            <w:pPr>
              <w:jc w:val="center"/>
            </w:pPr>
            <w:r>
              <w:rPr>
                <w:rFonts w:ascii="Times New Roman" w:hAnsi="Times New Roman"/>
                <w:sz w:val="18"/>
              </w:rPr>
              <w:t>control</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0.395</w:t>
            </w:r>
          </w:p>
        </w:tc>
        <w:tc>
          <w:tcPr>
            <w:tcW w:type="dxa" w:w="1872"/>
          </w:tcPr>
          <w:p>
            <w:pPr>
              <w:jc w:val="center"/>
            </w:pPr>
            <w:r>
              <w:rPr>
                <w:rFonts w:ascii="Times New Roman" w:hAnsi="Times New Roman"/>
                <w:sz w:val="18"/>
              </w:rPr>
              <w:t>0.054</w:t>
            </w:r>
          </w:p>
        </w:tc>
      </w:tr>
      <w:tr>
        <w:tc>
          <w:tcPr>
            <w:tcW w:type="dxa" w:w="1872"/>
          </w:tcPr>
          <w:p>
            <w:pPr>
              <w:jc w:val="center"/>
            </w:pPr>
            <w:r>
              <w:rPr>
                <w:rFonts w:ascii="Times New Roman" w:hAnsi="Times New Roman"/>
                <w:sz w:val="18"/>
              </w:rPr>
            </w:r>
          </w:p>
        </w:tc>
        <w:tc>
          <w:tcPr>
            <w:tcW w:type="dxa" w:w="1872"/>
          </w:tcPr>
          <w:p>
            <w:pPr>
              <w:jc w:val="center"/>
            </w:pPr>
            <w:r>
              <w:rPr>
                <w:rFonts w:ascii="Times New Roman" w:hAnsi="Times New Roman"/>
                <w:sz w:val="18"/>
              </w:rPr>
              <w:t>oea_anchored</w:t>
            </w:r>
          </w:p>
        </w:tc>
        <w:tc>
          <w:tcPr>
            <w:tcW w:type="dxa" w:w="1872"/>
          </w:tcPr>
          <w:p>
            <w:pPr>
              <w:jc w:val="center"/>
            </w:pPr>
            <w:r>
              <w:rPr>
                <w:rFonts w:ascii="Times New Roman" w:hAnsi="Times New Roman"/>
                <w:sz w:val="18"/>
              </w:rPr>
              <w:t>+0.88</w:t>
            </w:r>
          </w:p>
        </w:tc>
        <w:tc>
          <w:tcPr>
            <w:tcW w:type="dxa" w:w="1872"/>
          </w:tcPr>
          <w:p>
            <w:pPr>
              <w:jc w:val="center"/>
            </w:pPr>
            <w:r>
              <w:rPr>
                <w:rFonts w:ascii="Times New Roman" w:hAnsi="Times New Roman"/>
                <w:sz w:val="18"/>
              </w:rPr>
              <w:t>0.375</w:t>
            </w:r>
          </w:p>
        </w:tc>
        <w:tc>
          <w:tcPr>
            <w:tcW w:type="dxa" w:w="1872"/>
          </w:tcPr>
          <w:p>
            <w:pPr>
              <w:jc w:val="center"/>
            </w:pPr>
            <w:r>
              <w:rPr>
                <w:rFonts w:ascii="Times New Roman" w:hAnsi="Times New Roman"/>
                <w:sz w:val="18"/>
              </w:rPr>
              <w:t>0.068</w:t>
            </w:r>
          </w:p>
        </w:tc>
      </w:tr>
      <w:tr>
        <w:tc>
          <w:tcPr>
            <w:tcW w:type="dxa" w:w="1872"/>
          </w:tcPr>
          <w:p>
            <w:pPr>
              <w:jc w:val="center"/>
            </w:pPr>
            <w:r>
              <w:rPr>
                <w:rFonts w:ascii="Times New Roman" w:hAnsi="Times New Roman"/>
                <w:sz w:val="18"/>
              </w:rPr>
            </w:r>
          </w:p>
        </w:tc>
        <w:tc>
          <w:tcPr>
            <w:tcW w:type="dxa" w:w="1872"/>
          </w:tcPr>
          <w:p>
            <w:pPr>
              <w:jc w:val="center"/>
            </w:pPr>
            <w:r>
              <w:rPr>
                <w:rFonts w:ascii="Times New Roman" w:hAnsi="Times New Roman"/>
                <w:sz w:val="18"/>
              </w:rPr>
              <w:t>oea_miscalib.</w:t>
            </w:r>
          </w:p>
        </w:tc>
        <w:tc>
          <w:tcPr>
            <w:tcW w:type="dxa" w:w="1872"/>
          </w:tcPr>
          <w:p>
            <w:pPr>
              <w:jc w:val="center"/>
            </w:pPr>
            <w:r>
              <w:rPr>
                <w:rFonts w:ascii="Times New Roman" w:hAnsi="Times New Roman"/>
                <w:sz w:val="18"/>
              </w:rPr>
              <w:t>−0.62</w:t>
            </w:r>
          </w:p>
        </w:tc>
        <w:tc>
          <w:tcPr>
            <w:tcW w:type="dxa" w:w="1872"/>
          </w:tcPr>
          <w:p>
            <w:pPr>
              <w:jc w:val="center"/>
            </w:pPr>
            <w:r>
              <w:rPr>
                <w:rFonts w:ascii="Times New Roman" w:hAnsi="Times New Roman"/>
                <w:sz w:val="18"/>
              </w:rPr>
              <w:t>0.346</w:t>
            </w:r>
          </w:p>
        </w:tc>
        <w:tc>
          <w:tcPr>
            <w:tcW w:type="dxa" w:w="1872"/>
          </w:tcPr>
          <w:p>
            <w:pPr>
              <w:jc w:val="center"/>
            </w:pPr>
            <w:r>
              <w:rPr>
                <w:rFonts w:ascii="Times New Roman" w:hAnsi="Times New Roman"/>
                <w:sz w:val="18"/>
              </w:rPr>
              <w:t>0.050</w:t>
            </w:r>
          </w:p>
        </w:tc>
      </w:tr>
    </w:tbl>
    <w:p>
      <w:r>
        <w:rPr>
          <w:i/>
          <w:sz w:val="18"/>
        </w:rPr>
        <w:t>Table 5. Real LLM validation (10 seeds × 10 iterations, CUDA 12.1, RTX 4070 SUPER).</w:t>
      </w:r>
    </w:p>
    <w:p>
      <w:pPr>
        <w:ind w:firstLine="360"/>
      </w:pPr>
      <w:r>
        <w:t>H1 supported: oea_anchored improves log-probability by +0.62 to +1.63 nats across all four models. H2 supported: oea_miscalibrated degrades log-probability below control (−0.55 to −1.37 nats). H3 supported: oea_rag_only degrades log-probability (−0.07 to −0.54 nats). ROUGE-L dissociation is consistent with log-probability and ROUGE-L being orthogonal quality dimensions.</w:t>
      </w:r>
    </w:p>
    <w:p>
      <w:pPr>
        <w:pStyle w:val="Heading1"/>
      </w:pPr>
      <w:r>
        <w:rPr>
          <w:rFonts w:ascii="Times New Roman" w:hAnsi="Times New Roman"/>
          <w:color w:val="000000"/>
        </w:rPr>
        <w:t>9. Recursive Memory Drift Benchmark</w:t>
      </w:r>
    </w:p>
    <w:p>
      <w:pPr>
        <w:ind w:firstLine="360"/>
      </w:pPr>
      <w:r>
        <w:t>A 30-step recursive memory drift benchmark compares oea_controlled vs uncontrolled over 20 seeds in the bigram proxy harness. At step 30: OEA-controlled semantic drift JSD −0.006 lower (95% CI overlapping); entity retention Δ = −0.001 (negligible). The bigram harness provides only structural support for H4. Neural validation is required.</w:t>
      </w:r>
    </w:p>
    <w:p>
      <w:pPr>
        <w:pStyle w:val="Heading1"/>
      </w:pPr>
      <w:r>
        <w:rPr>
          <w:rFonts w:ascii="Times New Roman" w:hAnsi="Times New Roman"/>
          <w:color w:val="000000"/>
        </w:rPr>
        <w:t>10. Baseline Competition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18"/>
              </w:rPr>
              <w:t>Method</w:t>
            </w:r>
          </w:p>
        </w:tc>
        <w:tc>
          <w:tcPr>
            <w:tcW w:type="dxa" w:w="3120"/>
          </w:tcPr>
          <w:p>
            <w:pPr>
              <w:jc w:val="center"/>
            </w:pPr>
            <w:r>
              <w:rPr>
                <w:rFonts w:ascii="Times New Roman" w:hAnsi="Times New Roman"/>
                <w:b/>
                <w:sz w:val="18"/>
              </w:rPr>
              <w:t>Mechanism</w:t>
            </w:r>
          </w:p>
        </w:tc>
        <w:tc>
          <w:tcPr>
            <w:tcW w:type="dxa" w:w="3120"/>
          </w:tcPr>
          <w:p>
            <w:pPr>
              <w:jc w:val="center"/>
            </w:pPr>
            <w:r>
              <w:rPr>
                <w:rFonts w:ascii="Times New Roman" w:hAnsi="Times New Roman"/>
                <w:b/>
                <w:sz w:val="18"/>
              </w:rPr>
              <w:t>Limitation</w:t>
            </w:r>
          </w:p>
        </w:tc>
      </w:tr>
      <w:tr>
        <w:tc>
          <w:tcPr>
            <w:tcW w:type="dxa" w:w="3120"/>
          </w:tcPr>
          <w:p>
            <w:pPr>
              <w:jc w:val="center"/>
            </w:pPr>
            <w:r>
              <w:rPr>
                <w:rFonts w:ascii="Times New Roman" w:hAnsi="Times New Roman"/>
                <w:sz w:val="18"/>
              </w:rPr>
              <w:t>Temperature red.</w:t>
            </w:r>
          </w:p>
        </w:tc>
        <w:tc>
          <w:tcPr>
            <w:tcW w:type="dxa" w:w="3120"/>
          </w:tcPr>
          <w:p>
            <w:pPr>
              <w:jc w:val="center"/>
            </w:pPr>
            <w:r>
              <w:rPr>
                <w:rFonts w:ascii="Times New Roman" w:hAnsi="Times New Roman"/>
                <w:sz w:val="18"/>
              </w:rPr>
              <w:t>Global entropy suppression</w:t>
            </w:r>
          </w:p>
        </w:tc>
        <w:tc>
          <w:tcPr>
            <w:tcW w:type="dxa" w:w="3120"/>
          </w:tcPr>
          <w:p>
            <w:pPr>
              <w:jc w:val="center"/>
            </w:pPr>
            <w:r>
              <w:rPr>
                <w:rFonts w:ascii="Times New Roman" w:hAnsi="Times New Roman"/>
                <w:sz w:val="18"/>
              </w:rPr>
              <w:t>No epistemic discrimination</w:t>
            </w:r>
          </w:p>
        </w:tc>
      </w:tr>
      <w:tr>
        <w:tc>
          <w:tcPr>
            <w:tcW w:type="dxa" w:w="3120"/>
          </w:tcPr>
          <w:p>
            <w:pPr>
              <w:jc w:val="center"/>
            </w:pPr>
            <w:r>
              <w:rPr>
                <w:rFonts w:ascii="Times New Roman" w:hAnsi="Times New Roman"/>
                <w:sz w:val="18"/>
              </w:rPr>
              <w:t>Top-k</w:t>
            </w:r>
          </w:p>
        </w:tc>
        <w:tc>
          <w:tcPr>
            <w:tcW w:type="dxa" w:w="3120"/>
          </w:tcPr>
          <w:p>
            <w:pPr>
              <w:jc w:val="center"/>
            </w:pPr>
            <w:r>
              <w:rPr>
                <w:rFonts w:ascii="Times New Roman" w:hAnsi="Times New Roman"/>
                <w:sz w:val="18"/>
              </w:rPr>
              <w:t>Vocabulary truncation</w:t>
            </w:r>
          </w:p>
        </w:tc>
        <w:tc>
          <w:tcPr>
            <w:tcW w:type="dxa" w:w="3120"/>
          </w:tcPr>
          <w:p>
            <w:pPr>
              <w:jc w:val="center"/>
            </w:pPr>
            <w:r>
              <w:rPr>
                <w:rFonts w:ascii="Times New Roman" w:hAnsi="Times New Roman"/>
                <w:sz w:val="18"/>
              </w:rPr>
              <w:t>No directional calibration</w:t>
            </w:r>
          </w:p>
        </w:tc>
      </w:tr>
      <w:tr>
        <w:tc>
          <w:tcPr>
            <w:tcW w:type="dxa" w:w="3120"/>
          </w:tcPr>
          <w:p>
            <w:pPr>
              <w:jc w:val="center"/>
            </w:pPr>
            <w:r>
              <w:rPr>
                <w:rFonts w:ascii="Times New Roman" w:hAnsi="Times New Roman"/>
                <w:sz w:val="18"/>
              </w:rPr>
              <w:t>Entropy filter</w:t>
            </w:r>
          </w:p>
        </w:tc>
        <w:tc>
          <w:tcPr>
            <w:tcW w:type="dxa" w:w="3120"/>
          </w:tcPr>
          <w:p>
            <w:pPr>
              <w:jc w:val="center"/>
            </w:pPr>
            <w:r>
              <w:rPr>
                <w:rFonts w:ascii="Times New Roman" w:hAnsi="Times New Roman"/>
                <w:sz w:val="18"/>
              </w:rPr>
              <w:t>Uncertainty-based gating</w:t>
            </w:r>
          </w:p>
        </w:tc>
        <w:tc>
          <w:tcPr>
            <w:tcW w:type="dxa" w:w="3120"/>
          </w:tcPr>
          <w:p>
            <w:pPr>
              <w:jc w:val="center"/>
            </w:pPr>
            <w:r>
              <w:rPr>
                <w:rFonts w:ascii="Times New Roman" w:hAnsi="Times New Roman"/>
                <w:sz w:val="18"/>
              </w:rPr>
              <w:t>No semantic anchoring</w:t>
            </w:r>
          </w:p>
        </w:tc>
      </w:tr>
      <w:tr>
        <w:tc>
          <w:tcPr>
            <w:tcW w:type="dxa" w:w="3120"/>
          </w:tcPr>
          <w:p>
            <w:pPr>
              <w:jc w:val="center"/>
            </w:pPr>
            <w:r>
              <w:rPr>
                <w:rFonts w:ascii="Times New Roman" w:hAnsi="Times New Roman"/>
                <w:sz w:val="18"/>
              </w:rPr>
              <w:t>Repetition penalty</w:t>
            </w:r>
          </w:p>
        </w:tc>
        <w:tc>
          <w:tcPr>
            <w:tcW w:type="dxa" w:w="3120"/>
          </w:tcPr>
          <w:p>
            <w:pPr>
              <w:jc w:val="center"/>
            </w:pPr>
            <w:r>
              <w:rPr>
                <w:rFonts w:ascii="Times New Roman" w:hAnsi="Times New Roman"/>
                <w:sz w:val="18"/>
              </w:rPr>
              <w:t>Token damping</w:t>
            </w:r>
          </w:p>
        </w:tc>
        <w:tc>
          <w:tcPr>
            <w:tcW w:type="dxa" w:w="3120"/>
          </w:tcPr>
          <w:p>
            <w:pPr>
              <w:jc w:val="center"/>
            </w:pPr>
            <w:r>
              <w:rPr>
                <w:rFonts w:ascii="Times New Roman" w:hAnsi="Times New Roman"/>
                <w:sz w:val="18"/>
              </w:rPr>
              <w:t>No recursive coherence objective</w:t>
            </w:r>
          </w:p>
        </w:tc>
      </w:tr>
      <w:tr>
        <w:tc>
          <w:tcPr>
            <w:tcW w:type="dxa" w:w="3120"/>
          </w:tcPr>
          <w:p>
            <w:pPr>
              <w:jc w:val="center"/>
            </w:pPr>
            <w:r>
              <w:rPr>
                <w:rFonts w:ascii="Times New Roman" w:hAnsi="Times New Roman"/>
                <w:sz w:val="18"/>
              </w:rPr>
              <w:t>RAG-only</w:t>
            </w:r>
          </w:p>
        </w:tc>
        <w:tc>
          <w:tcPr>
            <w:tcW w:type="dxa" w:w="3120"/>
          </w:tcPr>
          <w:p>
            <w:pPr>
              <w:jc w:val="center"/>
            </w:pPr>
            <w:r>
              <w:rPr>
                <w:rFonts w:ascii="Times New Roman" w:hAnsi="Times New Roman"/>
                <w:sz w:val="18"/>
              </w:rPr>
              <w:t>Context injection</w:t>
            </w:r>
          </w:p>
        </w:tc>
        <w:tc>
          <w:tcPr>
            <w:tcW w:type="dxa" w:w="3120"/>
          </w:tcPr>
          <w:p>
            <w:pPr>
              <w:jc w:val="center"/>
            </w:pPr>
            <w:r>
              <w:rPr>
                <w:rFonts w:ascii="Times New Roman" w:hAnsi="Times New Roman"/>
                <w:sz w:val="18"/>
              </w:rPr>
              <w:t>No quality-aware filtering</w:t>
            </w:r>
          </w:p>
        </w:tc>
      </w:tr>
      <w:tr>
        <w:tc>
          <w:tcPr>
            <w:tcW w:type="dxa" w:w="3120"/>
          </w:tcPr>
          <w:p>
            <w:pPr>
              <w:jc w:val="center"/>
            </w:pPr>
            <w:r>
              <w:rPr>
                <w:rFonts w:ascii="Times New Roman" w:hAnsi="Times New Roman"/>
                <w:sz w:val="18"/>
              </w:rPr>
              <w:t>OEA</w:t>
            </w:r>
          </w:p>
        </w:tc>
        <w:tc>
          <w:tcPr>
            <w:tcW w:type="dxa" w:w="3120"/>
          </w:tcPr>
          <w:p>
            <w:pPr>
              <w:jc w:val="center"/>
            </w:pPr>
            <w:r>
              <w:rPr>
                <w:rFonts w:ascii="Times New Roman" w:hAnsi="Times New Roman"/>
                <w:sz w:val="18"/>
              </w:rPr>
              <w:t>Directional calibration + epistemic filter</w:t>
            </w:r>
          </w:p>
        </w:tc>
        <w:tc>
          <w:tcPr>
            <w:tcW w:type="dxa" w:w="3120"/>
          </w:tcPr>
          <w:p>
            <w:pPr>
              <w:jc w:val="center"/>
            </w:pPr>
            <w:r>
              <w:rPr>
                <w:rFonts w:ascii="Times New Roman" w:hAnsi="Times New Roman"/>
                <w:sz w:val="18"/>
              </w:rPr>
              <w:t>Designed for recursive coherence</w:t>
            </w:r>
          </w:p>
        </w:tc>
      </w:tr>
    </w:tbl>
    <w:p>
      <w:r>
        <w:rPr>
          <w:i/>
          <w:sz w:val="18"/>
        </w:rPr>
        <w:t>Table 6. Mechanistic comparison: why OEA differs from generic decoding constraints.</w:t>
      </w:r>
    </w:p>
    <w:p>
      <w:pPr>
        <w:ind w:firstLine="360"/>
      </w:pPr>
      <w:r>
        <w:t>OEA achieves the highest TRR (0.746 vs next-best entropy_filter 0.630). Stability differences are not significant at N=20 (p &gt; 0.3); real LLM baseline comparisons remain future work.</w:t>
      </w:r>
    </w:p>
    <w:p>
      <w:pPr>
        <w:pStyle w:val="Heading1"/>
      </w:pPr>
      <w:r>
        <w:rPr>
          <w:rFonts w:ascii="Times New Roman" w:hAnsi="Times New Roman"/>
          <w:color w:val="000000"/>
        </w:rPr>
        <w:t>11. Discussion</w:t>
      </w:r>
    </w:p>
    <w:p>
      <w:pPr>
        <w:ind w:firstLine="360"/>
      </w:pPr>
      <w:r>
        <w:t>Results are consistent with the primary thesis across four complementary experiments. The four-model, three-architecture validation supports the mechanism via log-probability improvement and ROUGE-L dissociation—two orthogonal metrics. Cross-architecture consistency (GPT-2, GPT-Neo, Qwen2.5) and cross-scale consistency (82M to 1.5B) strengthen external validity.</w:t>
      </w:r>
    </w:p>
    <w:p>
      <w:pPr>
        <w:ind w:firstLine="360"/>
      </w:pPr>
      <w:r>
        <w:t>The key asymmetry: stability and epistemic reliability are partially orthogonal. Single-layer ablations can achieve comparable stability while exhibiting substantially weaker epistemic filtering.</w:t>
      </w:r>
    </w:p>
    <w:p>
      <w:pPr>
        <w:pStyle w:val="Heading1"/>
      </w:pPr>
      <w:r>
        <w:rPr>
          <w:rFonts w:ascii="Times New Roman" w:hAnsi="Times New Roman"/>
          <w:color w:val="000000"/>
        </w:rPr>
        <w:t>12. Implications for Recursive Systems</w:t>
      </w:r>
    </w:p>
    <w:p>
      <w:pPr>
        <w:pStyle w:val="ListBullet"/>
      </w:pPr>
      <w:r>
        <w:t>Recursive planning drift: calibration-directed filtering may reduce plan degradation.</w:t>
      </w:r>
    </w:p>
    <w:p>
      <w:pPr>
        <w:pStyle w:val="ListBullet"/>
      </w:pPr>
      <w:r>
        <w:t>Hallucinated refinement: miscalibrated correction signals amplify confident errors.</w:t>
      </w:r>
    </w:p>
    <w:p>
      <w:pPr>
        <w:pStyle w:val="ListBullet"/>
      </w:pPr>
      <w:r>
        <w:t>Synthetic contamination in memory: ontological anchoring enforces domain boundaries.</w:t>
      </w:r>
    </w:p>
    <w:p>
      <w:pPr>
        <w:pStyle w:val="ListBullet"/>
      </w:pPr>
      <w:r>
        <w:t>Specification degradation: recursive spec refinement is vulnerable to semantic drift.</w:t>
      </w:r>
    </w:p>
    <w:p>
      <w:pPr>
        <w:ind w:firstLine="360"/>
      </w:pPr>
      <w:r>
        <w:t>These connections are suggestive, not demonstrated. We do not claim improvements to autonomous reasoning, planning competence, or general intelligence.</w:t>
      </w:r>
    </w:p>
    <w:p>
      <w:pPr>
        <w:pStyle w:val="Heading1"/>
      </w:pPr>
      <w:r>
        <w:rPr>
          <w:rFonts w:ascii="Times New Roman" w:hAnsi="Times New Roman"/>
          <w:color w:val="000000"/>
        </w:rPr>
        <w:t>13. Failure Modes and Limitations</w:t>
      </w:r>
    </w:p>
    <w:p>
      <w:pPr>
        <w:pStyle w:val="ListBullet"/>
      </w:pPr>
      <w:r>
        <w:t>Bigram proxy scope: cannot model long-range dependencies or neural hallucination.</w:t>
      </w:r>
    </w:p>
    <w:p>
      <w:pPr>
        <w:pStyle w:val="ListBullet"/>
      </w:pPr>
      <w:r>
        <w:t>Frozen-weights scope: not a substitute for fine-tuning experiments.</w:t>
      </w:r>
    </w:p>
    <w:p>
      <w:pPr>
        <w:pStyle w:val="ListBullet"/>
      </w:pPr>
      <w:r>
        <w:t>Over-anchoring harms diversity: reduces ROUGE-L recall.</w:t>
      </w:r>
    </w:p>
    <w:p>
      <w:pPr>
        <w:pStyle w:val="ListBullet"/>
      </w:pPr>
      <w:r>
        <w:t>CQ mismatch: measured CQ = 0.446 vs design estimate 0.83. ECE validation is future work.</w:t>
      </w:r>
    </w:p>
    <w:p>
      <w:pPr>
        <w:pStyle w:val="ListBullet"/>
      </w:pPr>
      <w:r>
        <w:t>Scale: 82M to 1.5B parameters; extrapolation to &gt;10B is not warranted.</w:t>
      </w:r>
    </w:p>
    <w:p>
      <w:pPr>
        <w:pStyle w:val="ListBullet"/>
      </w:pPr>
      <w:r>
        <w:t>Baseline comparison power: N=20 seeds insufficient for significant pairwise comparisons.</w:t>
      </w:r>
    </w:p>
    <w:p>
      <w:pPr>
        <w:pStyle w:val="ListBullet"/>
      </w:pPr>
      <w:r>
        <w:t>All causal language is provisional.</w:t>
      </w:r>
    </w:p>
    <w:p>
      <w:pPr>
        <w:pStyle w:val="Heading1"/>
      </w:pPr>
      <w:r>
        <w:rPr>
          <w:rFonts w:ascii="Times New Roman" w:hAnsi="Times New Roman"/>
          <w:color w:val="000000"/>
        </w:rPr>
        <w:t>14. Reproducibility and Data Availability</w:t>
      </w:r>
    </w:p>
    <w:p>
      <w:pPr>
        <w:ind w:firstLine="360"/>
      </w:pPr>
      <w:r>
        <w:t>All bigram experiments reproduce in &lt;10 minutes (no GPU). Artifact integrity verified by SHA-256 hashes (experiments/manifest.json). Dockerfile provides containerized environment. All four real LLM models are validated and artifacts committed. Public-domain corpora: literary (Carroll, Austen, Melville, Hume, Darwin) and scientific (Newton, Feynman, Sagan). Code: https://github.com/BitConcepts/oea-framework-paper</w:t>
      </w:r>
    </w:p>
    <w:p>
      <w:pPr>
        <w:pStyle w:val="Heading1"/>
      </w:pPr>
      <w:r>
        <w:rPr>
          <w:rFonts w:ascii="Times New Roman" w:hAnsi="Times New Roman"/>
          <w:color w:val="000000"/>
        </w:rPr>
        <w:t>15. Conclusion</w:t>
      </w:r>
    </w:p>
    <w:p>
      <w:pPr>
        <w:ind w:firstLine="360"/>
      </w:pPr>
      <w:r>
        <w:t>We presented OEA as a testable, three-layer intervention hypothesis for improving reliability in recursive generative systems, with explicit non-claims: no AGI, no formal symbolic ontology, no autonomous agency, no causal proof.</w:t>
      </w:r>
    </w:p>
    <w:p>
      <w:pPr>
        <w:ind w:firstLine="360"/>
      </w:pPr>
      <w:r>
        <w:t>The full OEA protocol achieves TRR = 0.836, FRR = 0.081 (d = 4.56, p &lt; 0.001) and improves mean log-probability by +0.62 to +1.63 nats across four models and three architecture families (82M–1.5B parameters). The anti-calibrated control provides strong ablation evidence for calibration direction as the operative variable.</w:t>
      </w:r>
    </w:p>
    <w:p>
      <w:pPr>
        <w:ind w:firstLine="360"/>
      </w:pPr>
      <w:r>
        <w:t>Future work: (1) frontier-scale model validation (&gt;10B parameters); (2) recursive system integration with tool use and persistent memory; (3) ECE-based CQ validation; (4) neural recursive memory drift experiments.</w:t>
      </w:r>
    </w:p>
    <w:p>
      <w:pPr>
        <w:pStyle w:val="Heading1"/>
      </w:pPr>
      <w:r>
        <w:rPr>
          <w:rFonts w:ascii="Times New Roman" w:hAnsi="Times New Roman"/>
          <w:color w:val="000000"/>
        </w:rPr>
        <w:t>References</w:t>
      </w:r>
    </w:p>
    <w:p>
      <w:pPr>
        <w:spacing w:after="40"/>
        <w:ind w:firstLine="0" w:left="360"/>
      </w:pPr>
      <w:r>
        <w:rPr>
          <w:sz w:val="18"/>
        </w:rPr>
        <w:t>[1] Shumailov et al., "AI models collapse when trained on recursively generated data," Nature, 2024.</w:t>
      </w:r>
    </w:p>
    <w:p>
      <w:pPr>
        <w:spacing w:after="40"/>
        <w:ind w:firstLine="0" w:left="360"/>
      </w:pPr>
      <w:r>
        <w:rPr>
          <w:sz w:val="18"/>
        </w:rPr>
        <w:t>[2] Fu et al., "Towards a theoretical understanding of synthetic data in LLM post-training," 2025.</w:t>
      </w:r>
    </w:p>
    <w:p>
      <w:pPr>
        <w:spacing w:after="40"/>
        <w:ind w:firstLine="0" w:left="360"/>
      </w:pPr>
      <w:r>
        <w:rPr>
          <w:sz w:val="18"/>
        </w:rPr>
        <w:t>[3] Gerstgrasser et al., "Is model collapse inevitable?" arXiv:2402.07712, 2024.</w:t>
      </w:r>
    </w:p>
    <w:p>
      <w:pPr>
        <w:spacing w:after="40"/>
        <w:ind w:firstLine="0" w:left="360"/>
      </w:pPr>
      <w:r>
        <w:rPr>
          <w:sz w:val="18"/>
        </w:rPr>
        <w:t>[4] Schaeffer et al., "Position: LLM training on model collapse," ICML, 2025.</w:t>
      </w:r>
    </w:p>
    <w:p>
      <w:pPr>
        <w:spacing w:after="40"/>
        <w:ind w:firstLine="0" w:left="360"/>
      </w:pPr>
      <w:r>
        <w:rPr>
          <w:sz w:val="18"/>
        </w:rPr>
        <w:t>[5] Popper, The Logic of Scientific Discovery, 1959.</w:t>
      </w:r>
    </w:p>
    <w:p>
      <w:pPr>
        <w:spacing w:after="40"/>
        <w:ind w:firstLine="0" w:left="360"/>
      </w:pPr>
      <w:r>
        <w:rPr>
          <w:sz w:val="18"/>
        </w:rPr>
        <w:t>[6] Drayson et al., "Machine-generated text detection prevents collapse," EMNLP, 2025.</w:t>
      </w:r>
    </w:p>
    <w:p>
      <w:pPr>
        <w:spacing w:after="40"/>
        <w:ind w:firstLine="0" w:left="360"/>
      </w:pPr>
      <w:r>
        <w:rPr>
          <w:sz w:val="18"/>
        </w:rPr>
        <w:t>[7] Zhu et al., "Synthesize, don't collapse," ICML, 2025.</w:t>
      </w:r>
    </w:p>
    <w:p>
      <w:pPr>
        <w:spacing w:after="40"/>
        <w:ind w:firstLine="0" w:left="360"/>
      </w:pPr>
      <w:r>
        <w:rPr>
          <w:sz w:val="18"/>
        </w:rPr>
        <w:t>[8] Kováč et al., "Recursive distributional shift under lexical diversity," 2025.</w:t>
      </w:r>
    </w:p>
    <w:p>
      <w:pPr>
        <w:spacing w:after="40"/>
        <w:ind w:firstLine="0" w:left="360"/>
      </w:pPr>
      <w:r>
        <w:rPr>
          <w:sz w:val="18"/>
        </w:rPr>
        <w:t>[9] Keisha et al., "Knowledge collapse in LLMs," NeurIPS Workshop, 2025.</w:t>
      </w:r>
    </w:p>
    <w:p>
      <w:pPr>
        <w:spacing w:after="40"/>
        <w:ind w:firstLine="0" w:left="360"/>
      </w:pPr>
      <w:r>
        <w:rPr>
          <w:sz w:val="18"/>
        </w:rPr>
        <w:t>[10] Lewis et al., "Retrieval-augmented generation for knowledge-intensive NLP," NeurIPS, 2020.</w:t>
      </w:r>
    </w:p>
    <w:p>
      <w:pPr>
        <w:spacing w:after="40"/>
        <w:ind w:firstLine="0" w:left="360"/>
      </w:pPr>
      <w:r>
        <w:rPr>
          <w:sz w:val="18"/>
        </w:rPr>
        <w:t>[11] Abbasi Yadkori et al., "To believe or not to believe your LLM," Google DeepMind, 2024.</w:t>
      </w:r>
    </w:p>
    <w:p>
      <w:pPr>
        <w:spacing w:after="40"/>
        <w:ind w:firstLine="0" w:left="360"/>
      </w:pPr>
      <w:r>
        <w:rPr>
          <w:sz w:val="18"/>
        </w:rPr>
        <w:t>[12] Guo et al., "On calibration of modern neural networks," ICML, 2017.</w:t>
      </w:r>
    </w:p>
    <w:p>
      <w:pPr>
        <w:spacing w:after="40"/>
        <w:ind w:firstLine="0" w:left="360"/>
      </w:pPr>
      <w:r>
        <w:rPr>
          <w:sz w:val="18"/>
        </w:rPr>
        <w:t>[13] Roumeliotis et al., "Trust-aware LLM orchestration," arXiv:2507.10571, 2025.</w:t>
      </w:r>
    </w:p>
    <w:p>
      <w:pPr>
        <w:spacing w:after="40"/>
        <w:ind w:firstLine="0" w:left="360"/>
      </w:pPr>
      <w:r>
        <w:rPr>
          <w:sz w:val="18"/>
        </w:rPr>
        <w:t>[14] Fu et al., "Self-verification improves few-shot clinical NLP," NeurIPS,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