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executive-justification-summary"/>
    <w:p>
      <w:pPr>
        <w:pStyle w:val="Heading1"/>
      </w:pPr>
      <w:r>
        <w:t xml:space="preserve">EXECUTIVE JUSTIFICATION SUMMARY</w:t>
      </w:r>
    </w:p>
    <w:p>
      <w:pPr>
        <w:pStyle w:val="FirstParagraph"/>
      </w:pPr>
      <w:r>
        <w:rPr>
          <w:b/>
          <w:bCs/>
        </w:rPr>
        <w:t xml:space="preserve">Nzwisiso AI™ Policy Simulation Platform</w:t>
      </w:r>
      <w:r>
        <w:t xml:space="preserve"> </w:t>
      </w:r>
      <w:r>
        <w:t xml:space="preserve">— a proposed public-private partnership between the Republic of Zimbabwe, acting through the Ministry of Information Communication Technology, Postal and Courier Services, and Oreida Pvt Ltd; submitted as a pilot for the</w:t>
      </w:r>
      <w:r>
        <w:t xml:space="preserve"> </w:t>
      </w:r>
      <w:r>
        <w:rPr>
          <w:b/>
          <w:bCs/>
        </w:rPr>
        <w:t xml:space="preserve">Digitalize Zimbabwe</w:t>
      </w:r>
      <w:r>
        <w:t xml:space="preserve"> </w:t>
      </w:r>
      <w:r>
        <w:t xml:space="preserve">initiative, in partnership with</w:t>
      </w:r>
      <w:r>
        <w:t xml:space="preserve"> </w:t>
      </w:r>
      <w:r>
        <w:rPr>
          <w:b/>
          <w:bCs/>
        </w:rPr>
        <w:t xml:space="preserve">ZEPARI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Addressed to:</w:t>
      </w:r>
      <w:r>
        <w:t xml:space="preserve"> </w:t>
      </w:r>
      <w:r>
        <w:t xml:space="preserve">Hon. Tatenda Mavetera, MP — Minister of Information Communication Technology, Postal and Courier Services · Dr. Gibson Chigumira — Executive Director, ZEPARI · Dr. Jesimen Chipika — Chairperson, ZEPARI Board of Trustees, and Deputy Governor, Reserve Bank of Zimbabwe · the ZEPARI Board of Trustees.</w:t>
      </w:r>
    </w:p>
    <w:p>
      <w:pPr>
        <w:pStyle w:val="BodyText"/>
      </w:pPr>
      <w:r>
        <w:rPr>
          <w:b/>
          <w:bCs/>
        </w:rPr>
        <w:t xml:space="preserve">Submitted by:</w:t>
      </w:r>
      <w:r>
        <w:t xml:space="preserve"> </w:t>
      </w:r>
      <w:r>
        <w:t xml:space="preserve">Oreida Pvt Ltd — Mr Edmore Zviitwah (Business Lead) and Mr Tadii Tendayi (Technical Lead).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12 October 2026.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For Decision.</w:t>
      </w:r>
    </w:p>
    <w:p>
      <w:pPr>
        <w:pStyle w:val="BodyText"/>
      </w:pPr>
      <w:r>
        <w:rPr>
          <w:b/>
          <w:bCs/>
        </w:rPr>
        <w:t xml:space="preserve">This is a proposal, not an agreement, and it is not a Government publication.</w:t>
      </w:r>
      <w:r>
        <w:t xml:space="preserve"> </w:t>
      </w:r>
      <w:r>
        <w:t xml:space="preserve">Oreida Pvt Ltd holds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endorsement from the Ministry, from ZEPARI or from any national programme; obtaining those endorsements is part of the ask. Use of the Coat of Arms is subject to the Government's confirmation.</w:t>
      </w:r>
    </w:p>
    <w:bookmarkStart w:id="9" w:name="X225a23d617cb6f56d297d0e9105f460fe91786f"/>
    <w:p>
      <w:pPr>
        <w:pStyle w:val="Heading2"/>
      </w:pPr>
      <w:r>
        <w:t xml:space="preserve">1. Why this, and why now</w:t>
      </w:r>
    </w:p>
    <w:p>
      <w:pPr>
        <w:pStyle w:val="FirstParagraph"/>
      </w:pPr>
      <w:r>
        <w:t xml:space="preserve">The Government has already decided that Zimbabwe will digitalise public administration —</w:t>
      </w:r>
      <w:r>
        <w:t xml:space="preserve"> </w:t>
      </w:r>
      <w:r>
        <w:rPr>
          <w:b/>
          <w:bCs/>
        </w:rPr>
        <w:t xml:space="preserve">Vision 2030</w:t>
      </w:r>
      <w:r>
        <w:t xml:space="preserve">;</w:t>
      </w:r>
      <w:r>
        <w:t xml:space="preserve"> </w:t>
      </w:r>
      <w:r>
        <w:rPr>
          <w:b/>
          <w:bCs/>
        </w:rPr>
        <w:t xml:space="preserve">NDS2 (2026–2030)</w:t>
      </w:r>
      <w:r>
        <w:t xml:space="preserve">;</w:t>
      </w:r>
      <w:r>
        <w:t xml:space="preserve"> </w:t>
      </w:r>
      <w:r>
        <w:rPr>
          <w:b/>
          <w:bCs/>
        </w:rPr>
        <w:t xml:space="preserve">Digitalize Zimbabwe</w:t>
      </w:r>
      <w:r>
        <w:t xml:space="preserve"> </w:t>
      </w:r>
      <w:r>
        <w:t xml:space="preserve">(launched by the Honourable Minister at Domboshava in April 2024, with a stated horizon of 2030); the</w:t>
      </w:r>
      <w:r>
        <w:t xml:space="preserve"> </w:t>
      </w:r>
      <w:r>
        <w:rPr>
          <w:b/>
          <w:bCs/>
        </w:rPr>
        <w:t xml:space="preserve">Presidential Internet Scheme</w:t>
      </w:r>
      <w:r>
        <w:t xml:space="preserve">, approved by Cabinet in April 2025 for all</w:t>
      </w:r>
      <w:r>
        <w:t xml:space="preserve"> </w:t>
      </w:r>
      <w:r>
        <w:rPr>
          <w:b/>
          <w:bCs/>
        </w:rPr>
        <w:t xml:space="preserve">2,400</w:t>
      </w:r>
      <w:r>
        <w:t xml:space="preserve"> </w:t>
      </w:r>
      <w:r>
        <w:t xml:space="preserve">administrative wards; and the</w:t>
      </w:r>
      <w:r>
        <w:t xml:space="preserve"> </w:t>
      </w:r>
      <w:r>
        <w:rPr>
          <w:b/>
          <w:bCs/>
        </w:rPr>
        <w:t xml:space="preserve">National AI Strategy</w:t>
      </w:r>
      <w:r>
        <w:t xml:space="preserve"> </w:t>
      </w:r>
      <w:r>
        <w:t xml:space="preserve">launched in June 2026, whose named priority sectors are healthcare, agriculture, education and financial inclusion. What does not yet exist is a working, sovereign example the Ministry itself can put to work. This platform is exactly that, one step short.</w:t>
      </w:r>
    </w:p>
    <w:bookmarkEnd w:id="9"/>
    <w:bookmarkStart w:id="10" w:name="Xfae7163734c2eb6462e563b967dde4cbb551eb7"/>
    <w:p>
      <w:pPr>
        <w:pStyle w:val="Heading2"/>
      </w:pPr>
      <w:r>
        <w:t xml:space="preserve">2. The problem it addresses</w:t>
      </w:r>
    </w:p>
    <w:p>
      <w:pPr>
        <w:pStyle w:val="FirstParagraph"/>
      </w:pPr>
      <w:r>
        <w:t xml:space="preserve">Policies are implemented without a structured way of examining how the groups they affect are likely to respond, so the cost of a provision that is not understood — resistance, delay, rework, or a measure that cannot be delivered as written — is discovered</w:t>
      </w:r>
      <w:r>
        <w:t xml:space="preserve"> </w:t>
      </w:r>
      <w:r>
        <w:rPr>
          <w:b/>
          <w:bCs/>
        </w:rPr>
        <w:t xml:space="preserve">after</w:t>
      </w:r>
      <w:r>
        <w:t xml:space="preserve"> </w:t>
      </w:r>
      <w:r>
        <w:t xml:space="preserve">implementation. Departments hold the expertise, but no standard tool lays out in one place who is affected, which provisions carry the greatest risk, and what to adjust.</w:t>
      </w:r>
    </w:p>
    <w:bookmarkEnd w:id="10"/>
    <w:bookmarkStart w:id="11" w:name="Xc757075fbb5ac6dc00bfdcafdf2d0601c1e5c14"/>
    <w:p>
      <w:pPr>
        <w:pStyle w:val="Heading2"/>
      </w:pPr>
      <w:r>
        <w:t xml:space="preserve">3. Two tools — independent, complementary, one price</w:t>
      </w:r>
    </w:p>
    <w:p>
      <w:pPr>
        <w:pStyle w:val="FirstParagraph"/>
      </w:pPr>
      <w:r>
        <w:rPr>
          <w:b/>
          <w:bCs/>
        </w:rPr>
        <w:t xml:space="preserve">Nzwisiso AI™ Policy Simulation Assistant</w:t>
      </w:r>
      <w:r>
        <w:t xml:space="preserve"> </w:t>
      </w:r>
      <w:r>
        <w:t xml:space="preserve">tests a draft policy against the</w:t>
      </w:r>
      <w:r>
        <w:t xml:space="preserve"> </w:t>
      </w:r>
      <w:r>
        <w:rPr>
          <w:b/>
          <w:bCs/>
        </w:rPr>
        <w:t xml:space="preserve">40</w:t>
      </w:r>
      <w:r>
        <w:t xml:space="preserve"> </w:t>
      </w:r>
      <w:r>
        <w:t xml:space="preserve">stakeholder groups a department's mandate covers, and produces a structured assessment a person can read, challenge and act upon.</w:t>
      </w:r>
      <w:r>
        <w:t xml:space="preserve"> </w:t>
      </w:r>
      <w:r>
        <w:rPr>
          <w:b/>
          <w:bCs/>
        </w:rPr>
        <w:t xml:space="preserve">ZEPARI Research Assistant™</w:t>
      </w:r>
      <w:r>
        <w:t xml:space="preserve"> </w:t>
      </w:r>
      <w:r>
        <w:t xml:space="preserve">turns ZEPARI's own published library into answers, briefs and a policy brief.</w:t>
      </w:r>
      <w:r>
        <w:t xml:space="preserve"> </w:t>
      </w:r>
      <w:r>
        <w:rPr>
          <w:b/>
          <w:bCs/>
        </w:rPr>
        <w:t xml:space="preserve">Either can be used entirely on its own</w:t>
      </w:r>
      <w:r>
        <w:t xml:space="preserve"> </w:t>
      </w:r>
      <w:r>
        <w:t xml:space="preserve">— and they complement each other: the Simulation Assistant tests the policy, the Research Assistant supplies the evidence behind it. The boundary is deliberate: the Research Assistant models nothing, and</w:t>
      </w:r>
      <w:r>
        <w:t xml:space="preserve"> </w:t>
      </w:r>
      <w:r>
        <w:rPr>
          <w:b/>
          <w:bCs/>
        </w:rPr>
        <w:t xml:space="preserve">no figure from the research side is ever fed into the simulation engine</w:t>
      </w:r>
      <w:r>
        <w:t xml:space="preserve">, which is what keeps</w:t>
      </w:r>
      <w:r>
        <w:t xml:space="preserve"> </w:t>
      </w:r>
      <w:r>
        <w:rPr>
          <w:i/>
          <w:iCs/>
        </w:rPr>
        <w:t xml:space="preserve">"the same policy always produces the same result"</w:t>
      </w:r>
      <w:r>
        <w:t xml:space="preserve"> </w:t>
      </w:r>
      <w:r>
        <w:t xml:space="preserve">true.</w:t>
      </w:r>
      <w:r>
        <w:t xml:space="preserve"> </w:t>
      </w:r>
      <w:r>
        <w:rPr>
          <w:b/>
          <w:bCs/>
        </w:rPr>
        <w:t xml:space="preserve">One price covers both tools — no charge per tool, per department, per officer or per use.</w:t>
      </w:r>
    </w:p>
    <w:bookmarkEnd w:id="11"/>
    <w:bookmarkStart w:id="12" w:name="X1c90230cb025d742fee85b81e18773152188593"/>
    <w:p>
      <w:pPr>
        <w:pStyle w:val="Heading2"/>
      </w:pPr>
      <w:r>
        <w:t xml:space="preserve">4. What the Government gets, and what ZEPARI gets</w:t>
      </w:r>
    </w:p>
    <w:p>
      <w:pPr>
        <w:pStyle w:val="FirstParagraph"/>
      </w:pPr>
      <w:r>
        <w:rPr>
          <w:b/>
          <w:bCs/>
        </w:rPr>
        <w:t xml:space="preserve">The Government</w:t>
      </w:r>
      <w:r>
        <w:t xml:space="preserve"> </w:t>
      </w:r>
      <w:r>
        <w:t xml:space="preserve">gets a working platform today, in an ordinary browser, with nothing installed:</w:t>
      </w:r>
      <w:r>
        <w:t xml:space="preserve"> </w:t>
      </w:r>
      <w:r>
        <w:rPr>
          <w:b/>
          <w:bCs/>
        </w:rPr>
        <w:t xml:space="preserve">16 institutions</w:t>
      </w:r>
      <w:r>
        <w:t xml:space="preserve">;</w:t>
      </w:r>
      <w:r>
        <w:t xml:space="preserve"> </w:t>
      </w:r>
      <w:r>
        <w:rPr>
          <w:b/>
          <w:bCs/>
        </w:rPr>
        <w:t xml:space="preserve">510 reference indicators</w:t>
      </w:r>
      <w:r>
        <w:t xml:space="preserve"> </w:t>
      </w:r>
      <w:r>
        <w:t xml:space="preserve">(275 published figures, each naming its publisher, publication and period; 235 labelled</w:t>
      </w:r>
      <w:r>
        <w:t xml:space="preserve"> </w:t>
      </w:r>
      <w:r>
        <w:rPr>
          <w:rStyle w:val="VerbatimChar"/>
        </w:rPr>
        <w:t xml:space="preserve">Modelled</w:t>
      </w:r>
      <w:r>
        <w:t xml:space="preserve">);</w:t>
      </w:r>
      <w:r>
        <w:t xml:space="preserve"> </w:t>
      </w:r>
      <w:r>
        <w:rPr>
          <w:b/>
          <w:bCs/>
        </w:rPr>
        <w:t xml:space="preserve">150 modelled stakeholder groups</w:t>
      </w:r>
      <w:r>
        <w:t xml:space="preserve"> </w:t>
      </w:r>
      <w:r>
        <w:t xml:space="preserve">(20 standing on a published national share, 130 labelled</w:t>
      </w:r>
      <w:r>
        <w:t xml:space="preserve"> </w:t>
      </w:r>
      <w:r>
        <w:rPr>
          <w:rStyle w:val="VerbatimChar"/>
        </w:rPr>
        <w:t xml:space="preserve">Modelled</w:t>
      </w:r>
      <w:r>
        <w:t xml:space="preserve">);</w:t>
      </w:r>
      <w:r>
        <w:t xml:space="preserve"> </w:t>
      </w:r>
      <w:r>
        <w:rPr>
          <w:b/>
          <w:bCs/>
        </w:rPr>
        <w:t xml:space="preserve">48 prepared policy drafts</w:t>
      </w:r>
      <w:r>
        <w:t xml:space="preserve">;</w:t>
      </w:r>
      <w:r>
        <w:t xml:space="preserve"> </w:t>
      </w:r>
      <w:r>
        <w:rPr>
          <w:b/>
          <w:bCs/>
        </w:rPr>
        <w:t xml:space="preserve">49 cited reference documents</w:t>
      </w:r>
      <w:r>
        <w:t xml:space="preserve">; and a complete officer journey ending in PDF, Word or print export and an editable drafted policy. Results are byte-identical for the same department and the same policy text, so a finding is defensible in a meeting.</w:t>
      </w:r>
      <w:r>
        <w:t xml:space="preserve"> </w:t>
      </w:r>
      <w:r>
        <w:rPr>
          <w:b/>
          <w:bCs/>
        </w:rPr>
        <w:t xml:space="preserve">ZEPARI</w:t>
      </w:r>
      <w:r>
        <w:t xml:space="preserve"> </w:t>
      </w:r>
      <w:r>
        <w:t xml:space="preserve">gets its research finally used in the policy process, attributed every time, reaching offices it cannot reach itself, with its independence preserved and visible — and its own 2012 recommendation, the "knowledge utilisation approach", delivered fourteen years later.</w:t>
      </w:r>
    </w:p>
    <w:bookmarkEnd w:id="12"/>
    <w:bookmarkStart w:id="13" w:name="X370fd12729bf30a2b87399bce2b4354948d2691"/>
    <w:p>
      <w:pPr>
        <w:pStyle w:val="Heading2"/>
      </w:pPr>
      <w:r>
        <w:t xml:space="preserve">5. The figures, and where they come from</w:t>
      </w:r>
    </w:p>
    <w:p>
      <w:pPr>
        <w:pStyle w:val="FirstParagraph"/>
      </w:pPr>
      <w:r>
        <w:t xml:space="preserve">The one-off licence is</w:t>
      </w:r>
      <w:r>
        <w:t xml:space="preserve"> </w:t>
      </w:r>
      <w:r>
        <w:rPr>
          <w:b/>
          <w:bCs/>
        </w:rPr>
        <w:t xml:space="preserve">US$2,800,000</w:t>
      </w:r>
      <w:r>
        <w:t xml:space="preserve"> </w:t>
      </w:r>
      <w:r>
        <w:t xml:space="preserve">and the monthly service charge is</w:t>
      </w:r>
      <w:r>
        <w:t xml:space="preserve"> </w:t>
      </w:r>
      <w:r>
        <w:rPr>
          <w:b/>
          <w:bCs/>
        </w:rPr>
        <w:t xml:space="preserve">US$72,000</w:t>
      </w:r>
      <w:r>
        <w:t xml:space="preserve">, for a</w:t>
      </w:r>
      <w:r>
        <w:t xml:space="preserve"> </w:t>
      </w:r>
      <w:r>
        <w:rPr>
          <w:b/>
          <w:bCs/>
        </w:rPr>
        <w:t xml:space="preserve">ten-year term reviewed at the fifth year</w:t>
      </w:r>
      <w:r>
        <w:t xml:space="preserve">, at the end of which the platform and all data revert to the Government. The one-off is paid in five part-payments as work is accepted —</w:t>
      </w:r>
      <w:r>
        <w:t xml:space="preserve"> </w:t>
      </w:r>
      <w:r>
        <w:rPr>
          <w:b/>
          <w:bCs/>
        </w:rPr>
        <w:t xml:space="preserve">US$1,300,000</w:t>
      </w:r>
      <w:r>
        <w:t xml:space="preserve"> </w:t>
      </w:r>
      <w:r>
        <w:t xml:space="preserve">licence fee on signature and</w:t>
      </w:r>
      <w:r>
        <w:t xml:space="preserve"> </w:t>
      </w:r>
      <w:r>
        <w:rPr>
          <w:b/>
          <w:bCs/>
        </w:rPr>
        <w:t xml:space="preserve">US$500,000</w:t>
      </w:r>
      <w:r>
        <w:t xml:space="preserve"> </w:t>
      </w:r>
      <w:r>
        <w:t xml:space="preserve">mobilisation advance against a bank guarantee, then</w:t>
      </w:r>
      <w:r>
        <w:t xml:space="preserve"> </w:t>
      </w:r>
      <w:r>
        <w:rPr>
          <w:b/>
          <w:bCs/>
        </w:rPr>
        <w:t xml:space="preserve">US$300,000 + US$300,000 + US$400,000</w:t>
      </w:r>
      <w:r>
        <w:t xml:space="preserve"> </w:t>
      </w:r>
      <w:r>
        <w:t xml:space="preserve">on the three build acceptances.</w:t>
      </w:r>
      <w:r>
        <w:t xml:space="preserve"> </w:t>
      </w:r>
      <w:r>
        <w:rPr>
          <w:b/>
          <w:bCs/>
        </w:rPr>
        <w:t xml:space="preserve">Both figures sit inside published ranges:</w:t>
      </w:r>
      <w:r>
        <w:t xml:space="preserve"> </w:t>
      </w:r>
      <w:r>
        <w:t xml:space="preserve">Zimbabwe's own financial-management project was appraised at</w:t>
      </w:r>
      <w:r>
        <w:t xml:space="preserve"> </w:t>
      </w:r>
      <w:r>
        <w:rPr>
          <w:b/>
          <w:bCs/>
        </w:rPr>
        <w:t xml:space="preserve">US$20 million</w:t>
      </w:r>
      <w:r>
        <w:t xml:space="preserve"> </w:t>
      </w:r>
      <w:r>
        <w:t xml:space="preserve">and signed at</w:t>
      </w:r>
      <w:r>
        <w:t xml:space="preserve"> </w:t>
      </w:r>
      <w:r>
        <w:rPr>
          <w:b/>
          <w:bCs/>
        </w:rPr>
        <w:t xml:space="preserve">US$10 million</w:t>
      </w:r>
      <w:r>
        <w:t xml:space="preserve">, with about</w:t>
      </w:r>
      <w:r>
        <w:t xml:space="preserve"> </w:t>
      </w:r>
      <w:r>
        <w:rPr>
          <w:b/>
          <w:bCs/>
        </w:rPr>
        <w:t xml:space="preserve">US$3 million a year</w:t>
      </w:r>
      <w:r>
        <w:t xml:space="preserve"> </w:t>
      </w:r>
      <w:r>
        <w:t xml:space="preserve">to maintain that system alone</w:t>
      </w:r>
      <w:r>
        <w:t xml:space="preserve"> </w:t>
      </w:r>
      <w:r>
        <w:rPr>
          <w:i/>
          <w:iCs/>
        </w:rPr>
        <w:t xml:space="preserve">(World Bank, Zimbabwe: Public Financial Management Enhancement Project, ICR00005623, 4 February 2022)</w:t>
      </w:r>
      <w:r>
        <w:t xml:space="preserve">, and comparable national platforms elsewhere in Africa cost</w:t>
      </w:r>
      <w:r>
        <w:t xml:space="preserve"> </w:t>
      </w:r>
      <w:r>
        <w:rPr>
          <w:b/>
          <w:bCs/>
        </w:rPr>
        <w:t xml:space="preserve">US$1.45 million to US$7.8 million</w:t>
      </w:r>
      <w:r>
        <w:t xml:space="preserve"> </w:t>
      </w:r>
      <w:r>
        <w:t xml:space="preserve">to build with</w:t>
      </w:r>
      <w:r>
        <w:t xml:space="preserve"> </w:t>
      </w:r>
      <w:r>
        <w:rPr>
          <w:b/>
          <w:bCs/>
        </w:rPr>
        <w:t xml:space="preserve">US$155,000 to US$873,000</w:t>
      </w:r>
      <w:r>
        <w:t xml:space="preserve"> </w:t>
      </w:r>
      <w:r>
        <w:t xml:space="preserve">a year to run</w:t>
      </w:r>
      <w:r>
        <w:t xml:space="preserve"> </w:t>
      </w:r>
      <w:r>
        <w:rPr>
          <w:i/>
          <w:iCs/>
        </w:rPr>
        <w:t xml:space="preserve">(World Bank, Electronic Government Procurement — Implementation Types: Options for Africa, 2022)</w:t>
      </w:r>
      <w:r>
        <w:t xml:space="preserve">.</w:t>
      </w:r>
    </w:p>
    <w:bookmarkEnd w:id="13"/>
    <w:bookmarkStart w:id="14" w:name="X4512eb46e803d6d4f708b0379cfcdb31eff7cb5"/>
    <w:p>
      <w:pPr>
        <w:pStyle w:val="Heading2"/>
      </w:pPr>
      <w:r>
        <w:t xml:space="preserve">6. Stated honestly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Working today</w:t>
            </w:r>
          </w:p>
        </w:tc>
        <w:tc>
          <w:tcPr/>
          <w:p>
            <w:pPr>
              <w:pStyle w:val="Compact"/>
            </w:pPr>
            <w:r>
              <w:t xml:space="preserve">Demonstrated with sample data</w:t>
            </w:r>
          </w:p>
        </w:tc>
        <w:tc>
          <w:tcPr/>
          <w:p>
            <w:pPr>
              <w:pStyle w:val="Compact"/>
            </w:pPr>
            <w:r>
              <w:t xml:space="preserve">Proposed</w:t>
            </w:r>
          </w:p>
        </w:tc>
        <w:tc>
          <w:tcPr/>
          <w:p>
            <w:pPr>
              <w:pStyle w:val="Compact"/>
            </w:pPr>
            <w:r>
              <w:t xml:space="preserve">Requires external approval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platform, both tools, all 16 institutions, the officer journey, PDF / Word / print export, reproducible results</w:t>
            </w:r>
          </w:p>
        </w:tc>
        <w:tc>
          <w:tcPr/>
          <w:p>
            <w:pPr>
              <w:pStyle w:val="Compact"/>
            </w:pPr>
            <w:r>
              <w:t xml:space="preserve">The stakeholder responses and projected impacts of any run —</w:t>
            </w:r>
            <w:r>
              <w:t xml:space="preserve"> </w:t>
            </w:r>
            <w:r>
              <w:rPr>
                <w:b/>
                <w:bCs/>
              </w:rPr>
              <w:t xml:space="preserve">simulated, and labelled as such</w:t>
            </w:r>
          </w:p>
        </w:tc>
        <w:tc>
          <w:tcPr/>
          <w:p>
            <w:pPr>
              <w:pStyle w:val="Compact"/>
            </w:pPr>
            <w:r>
              <w:t xml:space="preserve">The pilot at one institution on one policy question; the three build steps; the licence and service charge</w:t>
            </w:r>
          </w:p>
        </w:tc>
        <w:tc>
          <w:tcPr/>
          <w:p>
            <w:pPr>
              <w:pStyle w:val="Compact"/>
            </w:pPr>
            <w:r>
              <w:t xml:space="preserve">The Ministry's endorsement and funding; ZEPARI's partnership and endorsement; the hosting arrangement; the Service Agreement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Named-source statement.</w:t>
      </w:r>
      <w:r>
        <w:t xml:space="preserve"> </w:t>
      </w:r>
      <w:r>
        <w:t xml:space="preserve">Stakeholder shares are the</w:t>
      </w:r>
      <w:r>
        <w:t xml:space="preserve"> </w:t>
      </w:r>
      <w:r>
        <w:rPr>
          <w:b/>
          <w:bCs/>
        </w:rPr>
        <w:t xml:space="preserve">Zimbabwe National Statistics Agency (ZIMSTAT)</w:t>
      </w:r>
      <w:r>
        <w:t xml:space="preserve"> </w:t>
      </w:r>
      <w:r>
        <w:t xml:space="preserve">2022 census figures, each naming the figure it stands for, or labelled</w:t>
      </w:r>
      <w:r>
        <w:t xml:space="preserve"> </w:t>
      </w:r>
      <w:r>
        <w:rPr>
          <w:rStyle w:val="VerbatimChar"/>
        </w:rPr>
        <w:t xml:space="preserve">Modelled</w:t>
      </w:r>
      <w:r>
        <w:t xml:space="preserve"> </w:t>
      </w:r>
      <w:r>
        <w:t xml:space="preserve">where no official count exists; reference rates name their publisher and period; every cited instrument is a real Zimbabwean Act; and every indicator either names its publisher, publication and period or is shown as</w:t>
      </w:r>
      <w:r>
        <w:t xml:space="preserve"> </w:t>
      </w:r>
      <w:r>
        <w:rPr>
          <w:rStyle w:val="VerbatimChar"/>
        </w:rPr>
        <w:t xml:space="preserve">Modelled</w:t>
      </w:r>
      <w:r>
        <w:t xml:space="preserve">.</w:t>
      </w:r>
      <w:r>
        <w:t xml:space="preserve"> </w:t>
      </w:r>
      <w:r>
        <w:rPr>
          <w:b/>
          <w:bCs/>
        </w:rPr>
        <w:t xml:space="preserve">What a simulation produces is a projection, not a measurement, and is always labelled simulated.</w:t>
      </w:r>
    </w:p>
    <w:p>
      <w:pPr>
        <w:pStyle w:val="BodyText"/>
      </w:pPr>
      <w:r>
        <w:rPr>
          <w:b/>
          <w:bCs/>
        </w:rPr>
        <w:t xml:space="preserve">Submitted for and on behalf of Oreida Pvt Ltd</w:t>
      </w:r>
      <w:r>
        <w:t xml:space="preserve"> </w:t>
      </w:r>
      <w:r>
        <w:t xml:space="preserve">— Mr Edmore Zviitwah and Mr Tadii Tendayi — 12 October 2026.</w:t>
      </w:r>
    </w:p>
    <w:bookmarkEnd w:id="14"/>
    <w:bookmarkEnd w:id="15"/>
    <w:sectPr>
      <w:footnotePr>
        <w:numRestart w:val="eachSect"/>
      </w:footnotePr>
      <w:pgMar w:bottom="680" w:left="850" w:right="850" w:top="73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sz w:val="17"/>
    </w:rPr>
  </w:style>
  <w:style w:styleId="BodyText" w:type="paragraph">
    <w:name w:val="Body Text"/>
    <w:basedOn w:val="Normal"/>
    <w:link w:val="BodyTextChar"/>
    <w:qFormat/>
    <w:pPr>
      <w:spacing w:after="60" w:before="0"/>
    </w:pPr>
  </w:style>
  <w:style w:customStyle="1" w:styleId="FirstParagraph" w:type="paragraph">
    <w:name w:val="First Paragraph"/>
    <w:basedOn w:val="BodyText"/>
    <w:next w:val="BodyText"/>
    <w:qFormat/>
    <w:pPr>
      <w:spacing w:after="60" w:before="0"/>
    </w:pPr>
  </w:style>
  <w:style w:customStyle="1" w:styleId="Compact" w:type="paragraph">
    <w:name w:val="Compact"/>
    <w:basedOn w:val="BodyText"/>
    <w:qFormat/>
    <w:pPr>
      <w:spacing w:after="10" w:before="10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40" w:before="120"/>
      <w:outlineLvl w:val="1"/>
    </w:pPr>
    <w:rPr>
      <w:rFonts w:asciiTheme="majorHAnsi" w:cstheme="majorBidi" w:eastAsiaTheme="majorEastAsia" w:hAnsiTheme="majorHAnsi"/>
      <w:color w:themeColor="accent1" w:themeShade="BF" w:val="0F4761"/>
      <w:sz w:val="20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40" w:before="80"/>
      <w:outlineLvl w:val="2"/>
    </w:pPr>
    <w:rPr>
      <w:rFonts w:cstheme="majorBidi" w:eastAsiaTheme="majorEastAsia"/>
      <w:color w:themeColor="accent1" w:themeShade="BF" w:val="0F4761"/>
      <w:sz w:val="1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sz w:val="15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2026-10-12T13:17:53Z</dcterms:created>
  <dcterms:modified xsi:type="dcterms:W3CDTF">2026-10-12T13:17:53Z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