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b49c1735c5d65c4782d80f0ba53258bcd10f95"/>
    <w:p>
      <w:pPr>
        <w:pStyle w:val="Heading1"/>
      </w:pPr>
      <w:r>
        <w:t xml:space="preserve">OREIDA PVT LTD — TECHNICAL CAPABILITY STATEMENT</w:t>
      </w:r>
    </w:p>
    <w:bookmarkStart w:id="9" w:name="Xd5e8ab25b28359e48fdc9792557d2b322940873"/>
    <w:p>
      <w:pPr>
        <w:pStyle w:val="Heading2"/>
      </w:pPr>
      <w:r>
        <w:t xml:space="preserve">Supporting the Nzwisiso AI Policy Platform — a public-private partnership proposal to the Government of Zimbabwe</w:t>
      </w:r>
    </w:p>
    <w:p>
      <w:pPr>
        <w:pStyle w:val="FirstParagraph"/>
      </w:pPr>
      <w:r>
        <w:rPr>
          <w:b/>
          <w:bCs/>
        </w:rPr>
        <w:t xml:space="preserve">GOVERNMENT OF ZIMBABWE</w:t>
      </w:r>
    </w:p>
    <w:p>
      <w:pPr>
        <w:pStyle w:val="BodyText"/>
      </w:pPr>
      <w:r>
        <w:rPr>
          <w:b/>
          <w:bCs/>
        </w:rPr>
        <w:t xml:space="preserve">Nzwisiso AI Policy Platform — Public-Private Partnership Proposal</w:t>
      </w:r>
    </w:p>
    <w:p>
      <w:pPr>
        <w:pStyle w:val="BodyText"/>
      </w:pPr>
      <w:r>
        <w:rPr>
          <w:i/>
          <w:iCs/>
        </w:rPr>
        <w:t xml:space="preserve">A browser-based capability that tests a draft policy against a simulated population before it is implemented, and produces structured findings for human review.</w:t>
      </w:r>
    </w:p>
    <w:p>
      <w:pPr>
        <w:pStyle w:val="BodyText"/>
      </w:pPr>
      <w:r>
        <w:rPr>
          <w:b/>
          <w:bCs/>
        </w:rPr>
        <w:t xml:space="preserve">Addressed to:</w:t>
      </w:r>
      <w:r>
        <w:t xml:space="preserve"> </w:t>
      </w:r>
      <w:r>
        <w:t xml:space="preserve">the Honourable Minister of Information Communication Technology, Postal and Courier Services —</w:t>
      </w:r>
      <w:r>
        <w:t xml:space="preserve"> </w:t>
      </w:r>
      <w:r>
        <w:rPr>
          <w:b/>
          <w:bCs/>
        </w:rPr>
        <w:t xml:space="preserve">Hon. Tatenda Mavetera, MP</w:t>
      </w:r>
    </w:p>
    <w:p>
      <w:pPr>
        <w:pStyle w:val="BodyText"/>
      </w:pPr>
      <w:r>
        <w:rPr>
          <w:b/>
          <w:bCs/>
        </w:rPr>
        <w:t xml:space="preserve">Co-addressed to:</w:t>
      </w:r>
      <w:r>
        <w:t xml:space="preserve"> </w:t>
      </w:r>
      <w:r>
        <w:t xml:space="preserve">Dr. Gibson Chigumira, Executive Director, ZEPARI (the Zimbabwe Economic Policy Analysis and Research Institute)</w:t>
      </w:r>
    </w:p>
    <w:p>
      <w:pPr>
        <w:pStyle w:val="BodyText"/>
      </w:pPr>
      <w:r>
        <w:rPr>
          <w:b/>
          <w:bCs/>
        </w:rPr>
        <w:t xml:space="preserve">Proposed champions:</w:t>
      </w:r>
      <w:r>
        <w:t xml:space="preserve"> </w:t>
      </w:r>
      <w:r>
        <w:t xml:space="preserve">no office named in this statement has been approached for endorsement. Oreida Pvt Ltd holds no endorsement, approval or funding from the Government, from ZEPARI or from any national programme. Obtaining those endorsements is precisely what the accompanying proposal requests.</w:t>
      </w:r>
    </w:p>
    <w:p>
      <w:pPr>
        <w:pStyle w:val="BodyText"/>
      </w:pPr>
      <w:r>
        <w:rPr>
          <w:b/>
          <w:bCs/>
        </w:rPr>
        <w:t xml:space="preserve">Submitted by:</w:t>
      </w:r>
      <w:r>
        <w:t xml:space="preserve"> </w:t>
      </w:r>
      <w:r>
        <w:rPr>
          <w:b/>
          <w:bCs/>
        </w:rPr>
        <w:t xml:space="preserve">Oreida Pvt Ltd</w:t>
      </w:r>
      <w:r>
        <w:t xml:space="preserve">, represented by</w:t>
      </w:r>
      <w:r>
        <w:t xml:space="preserve"> </w:t>
      </w:r>
      <w:r>
        <w:rPr>
          <w:b/>
          <w:bCs/>
        </w:rPr>
        <w:t xml:space="preserve">Edmore Zviitwah — Business Lead</w:t>
      </w:r>
      <w:r>
        <w:t xml:space="preserve"> </w:t>
      </w:r>
      <w:r>
        <w:t xml:space="preserve">and</w:t>
      </w:r>
      <w:r>
        <w:t xml:space="preserve"> </w:t>
      </w:r>
      <w:r>
        <w:rPr>
          <w:b/>
          <w:bCs/>
        </w:rPr>
        <w:t xml:space="preserve">Tadii Tendayi — Technical Lead</w:t>
      </w:r>
      <w:r>
        <w:t xml:space="preserve">.</w:t>
      </w:r>
    </w:p>
    <w:p>
      <w:pPr>
        <w:pStyle w:val="BodyText"/>
      </w:pPr>
      <w:r>
        <w:rPr>
          <w:b/>
          <w:bCs/>
        </w:rPr>
        <w:t xml:space="preserve">Date:</w:t>
      </w:r>
      <w:r>
        <w:t xml:space="preserve"> </w:t>
      </w:r>
      <w:r>
        <w:t xml:space="preserve">October 2026</w:t>
      </w:r>
    </w:p>
    <w:p>
      <w:pPr>
        <w:pStyle w:val="BodyText"/>
      </w:pPr>
      <w:r>
        <w:rPr>
          <w:b/>
          <w:bCs/>
        </w:rPr>
        <w:t xml:space="preserve">Disclaimers:</w:t>
      </w:r>
      <w:r>
        <w:t xml:space="preserve"> </w:t>
      </w:r>
      <w:r>
        <w:t xml:space="preserve">This is a supporting statement to a proposal. It is not an agreement, and it is not a Government publication. It does not represent a Government approval, endorsement or commitment. Use of the national Coat of Arms on project documentation is subject to the Government's confirmation; none is used in this draft.</w:t>
      </w:r>
    </w:p>
    <w:p>
      <w:r>
        <w:pict>
          <v:rect style="width:0;height:1.5pt" o:hralign="center" o:hrstd="t" o:hr="t"/>
        </w:pict>
      </w:r>
    </w:p>
    <w:bookmarkEnd w:id="9"/>
    <w:bookmarkStart w:id="10" w:name="X175e93943b4302c7d483fe1ff1a54fc92147d03"/>
    <w:p>
      <w:pPr>
        <w:pStyle w:val="Heading2"/>
      </w:pPr>
      <w:r>
        <w:t xml:space="preserve">1. Executive capability statement</w:t>
      </w:r>
    </w:p>
    <w:p>
      <w:pPr>
        <w:pStyle w:val="FirstParagraph"/>
      </w:pPr>
      <w:r>
        <w:t xml:space="preserve">Oreida Pvt Ltd is promoting the</w:t>
      </w:r>
      <w:r>
        <w:t xml:space="preserve"> </w:t>
      </w:r>
      <w:r>
        <w:rPr>
          <w:b/>
          <w:bCs/>
        </w:rPr>
        <w:t xml:space="preserve">Nzwisiso AI Policy Platform</w:t>
      </w:r>
      <w:r>
        <w:t xml:space="preserve">, a browser-based capability that lets a government department test a draft policy against a simulated population before the policy is implemented, with</w:t>
      </w:r>
      <w:r>
        <w:t xml:space="preserve"> </w:t>
      </w:r>
      <w:r>
        <w:rPr>
          <w:b/>
          <w:bCs/>
        </w:rPr>
        <w:t xml:space="preserve">Edmore Zviitwah</w:t>
      </w:r>
      <w:r>
        <w:t xml:space="preserve"> </w:t>
      </w:r>
      <w:r>
        <w:t xml:space="preserve">providing business leadership and</w:t>
      </w:r>
      <w:r>
        <w:t xml:space="preserve"> </w:t>
      </w:r>
      <w:r>
        <w:rPr>
          <w:b/>
          <w:bCs/>
        </w:rPr>
        <w:t xml:space="preserve">Tadii Tendayi</w:t>
      </w:r>
      <w:r>
        <w:t xml:space="preserve"> </w:t>
      </w:r>
      <w:r>
        <w:t xml:space="preserve">providing technical leadership.</w:t>
      </w:r>
    </w:p>
    <w:p>
      <w:pPr>
        <w:pStyle w:val="BodyText"/>
      </w:pPr>
      <w:r>
        <w:t xml:space="preserve">This statement complements — it does not duplicate — the principal proposal. Its purpose is to give the Government, and ZEPARI as a prospective partner, a concise, evidence-based view of the promoter's prior technical, digital-government, artificial-intelligence and delivery experience, so that the people promoting and technically leading the proposed platform can be assessed on their record rather than on assertion.</w:t>
      </w:r>
    </w:p>
    <w:p>
      <w:pPr>
        <w:pStyle w:val="BodyText"/>
      </w:pPr>
      <w:r>
        <w:t xml:space="preserve">The experience most directly relevant to a policy-simulation platform for sixteen government institutions is the promoter's documented work in</w:t>
      </w:r>
      <w:r>
        <w:t xml:space="preserve"> </w:t>
      </w:r>
      <w:r>
        <w:rPr>
          <w:b/>
          <w:bCs/>
        </w:rPr>
        <w:t xml:space="preserve">digital-government readiness</w:t>
      </w:r>
      <w:r>
        <w:t xml:space="preserve">,</w:t>
      </w:r>
      <w:r>
        <w:t xml:space="preserve"> </w:t>
      </w:r>
      <w:r>
        <w:rPr>
          <w:b/>
          <w:bCs/>
        </w:rPr>
        <w:t xml:space="preserve">data and artificial intelligence</w:t>
      </w:r>
      <w:r>
        <w:t xml:space="preserve">, and</w:t>
      </w:r>
      <w:r>
        <w:t xml:space="preserve"> </w:t>
      </w:r>
      <w:r>
        <w:rPr>
          <w:b/>
          <w:bCs/>
        </w:rPr>
        <w:t xml:space="preserve">financial and policy analysis</w:t>
      </w:r>
      <w:r>
        <w:t xml:space="preserve">, held as certificates with verifiable credential numbers and set out at Annex B. That record is complemented by blockchain and software-engineering pedigree through</w:t>
      </w:r>
      <w:r>
        <w:t xml:space="preserve"> </w:t>
      </w:r>
      <w:r>
        <w:rPr>
          <w:b/>
          <w:bCs/>
        </w:rPr>
        <w:t xml:space="preserve">cBLOCK</w:t>
      </w:r>
      <w:r>
        <w:t xml:space="preserve"> </w:t>
      </w:r>
      <w:r>
        <w:t xml:space="preserve">and</w:t>
      </w:r>
      <w:r>
        <w:t xml:space="preserve"> </w:t>
      </w:r>
      <w:r>
        <w:rPr>
          <w:b/>
          <w:bCs/>
        </w:rPr>
        <w:t xml:space="preserve">BitFlex</w:t>
      </w:r>
      <w:r>
        <w:t xml:space="preserve">, by engagement with international technology and development ecosystems, and by leadership within the</w:t>
      </w:r>
      <w:r>
        <w:t xml:space="preserve"> </w:t>
      </w:r>
      <w:r>
        <w:rPr>
          <w:b/>
          <w:bCs/>
        </w:rPr>
        <w:t xml:space="preserve">United Africa Blockchain Association (UABA)</w:t>
      </w:r>
      <w:r>
        <w:t xml:space="preserve">.</w:t>
      </w:r>
    </w:p>
    <w:bookmarkEnd w:id="10"/>
    <w:bookmarkStart w:id="11" w:name="X21d099dc925cd647a96c3d2ab75a12a9dc8b8c2"/>
    <w:p>
      <w:pPr>
        <w:pStyle w:val="Heading2"/>
      </w:pPr>
      <w:r>
        <w:t xml:space="preserve">2. Demonstrated capability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 area</w:t>
            </w:r>
          </w:p>
        </w:tc>
        <w:tc>
          <w:tcPr/>
          <w:p>
            <w:pPr>
              <w:pStyle w:val="Compact"/>
            </w:pPr>
            <w:r>
              <w:t xml:space="preserve">Evidence held by the promoter</w:t>
            </w:r>
          </w:p>
        </w:tc>
      </w:tr>
      <w:tr>
        <w:tc>
          <w:tcPr/>
          <w:p>
            <w:pPr>
              <w:pStyle w:val="Compact"/>
            </w:pPr>
            <w:r>
              <w:t xml:space="preserve">Digital government</w:t>
            </w:r>
          </w:p>
        </w:tc>
        <w:tc>
          <w:tcPr/>
          <w:p>
            <w:pPr>
              <w:pStyle w:val="Compact"/>
            </w:pPr>
            <w:r>
              <w:t xml:space="preserve">Digital Government Readiness Assessment certificate (Asean Online Education AOE, Nov 2020)</w:t>
            </w:r>
          </w:p>
        </w:tc>
      </w:tr>
      <w:tr>
        <w:tc>
          <w:tcPr/>
          <w:p>
            <w:pPr>
              <w:pStyle w:val="Compact"/>
            </w:pPr>
            <w:r>
              <w:t xml:space="preserve">Artificial intelligence in education and public use</w:t>
            </w:r>
          </w:p>
        </w:tc>
        <w:tc>
          <w:tcPr/>
          <w:p>
            <w:pPr>
              <w:pStyle w:val="Compact"/>
            </w:pPr>
            <w:r>
              <w:t xml:space="preserve">Google AI for K12 Educators, and Intermediate use of Google Workspace for Education Fundamentals (Google, Nov 2025)</w:t>
            </w:r>
          </w:p>
        </w:tc>
      </w:tr>
      <w:tr>
        <w:tc>
          <w:tcPr/>
          <w:p>
            <w:pPr>
              <w:pStyle w:val="Compact"/>
            </w:pPr>
            <w:r>
              <w:t xml:space="preserve">Policy and institutional leadership</w:t>
            </w:r>
          </w:p>
        </w:tc>
        <w:tc>
          <w:tcPr/>
          <w:p>
            <w:pPr>
              <w:pStyle w:val="Compact"/>
            </w:pPr>
            <w:r>
              <w:t xml:space="preserve">Leading Equitable Organisations (Digital Frontiers Institute, Mar 2023); Innovative Business Models for Better Impact (World Bank Group, Dec 2020)</w:t>
            </w:r>
          </w:p>
        </w:tc>
      </w:tr>
      <w:tr>
        <w:tc>
          <w:tcPr/>
          <w:p>
            <w:pPr>
              <w:pStyle w:val="Compact"/>
            </w:pPr>
            <w:r>
              <w:t xml:space="preserve">Financial and economic analysis</w:t>
            </w:r>
          </w:p>
        </w:tc>
        <w:tc>
          <w:tcPr/>
          <w:p>
            <w:pPr>
              <w:pStyle w:val="Compact"/>
            </w:pPr>
            <w:r>
              <w:t xml:space="preserve">Economics For Capital Markets; Accounting Fundamentals (Corporate Finance Institute, Dec 2020)</w:t>
            </w:r>
          </w:p>
        </w:tc>
      </w:tr>
      <w:tr>
        <w:tc>
          <w:tcPr/>
          <w:p>
            <w:pPr>
              <w:pStyle w:val="Compact"/>
            </w:pPr>
            <w:r>
              <w:t xml:space="preserve">Risk and financing</w:t>
            </w:r>
          </w:p>
        </w:tc>
        <w:tc>
          <w:tcPr/>
          <w:p>
            <w:pPr>
              <w:pStyle w:val="Compact"/>
            </w:pPr>
            <w:r>
              <w:t xml:space="preserve">Disaster Risk Financing; Financial Risk Management Products; A Systemic Approach To Financial Inclusion (World Bank Group, Oct–Dec 2020)</w:t>
            </w:r>
          </w:p>
        </w:tc>
      </w:tr>
      <w:tr>
        <w:tc>
          <w:tcPr/>
          <w:p>
            <w:pPr>
              <w:pStyle w:val="Compact"/>
            </w:pPr>
            <w:r>
              <w:t xml:space="preserve">Public communication</w:t>
            </w:r>
          </w:p>
        </w:tc>
        <w:tc>
          <w:tcPr/>
          <w:p>
            <w:pPr>
              <w:pStyle w:val="Compact"/>
            </w:pPr>
            <w:r>
              <w:t xml:space="preserve">Diploma in Public Relations (Asean Online Education AOE, Dec 2020)</w:t>
            </w:r>
          </w:p>
        </w:tc>
      </w:tr>
      <w:tr>
        <w:tc>
          <w:tcPr/>
          <w:p>
            <w:pPr>
              <w:pStyle w:val="Compact"/>
            </w:pPr>
            <w:r>
              <w:t xml:space="preserve">Blockchain software engineering</w:t>
            </w:r>
          </w:p>
        </w:tc>
        <w:tc>
          <w:tcPr/>
          <w:p>
            <w:pPr>
              <w:pStyle w:val="Compact"/>
            </w:pPr>
            <w:r>
              <w:t xml:space="preserve">Diploma In Blockchain Technology And Applications; Diploma In Cryptocurrency (Asean Online Education AOE, Oct–Dec 2020); cBLOCK and BitFlex delivery</w:t>
            </w:r>
          </w:p>
        </w:tc>
      </w:tr>
      <w:tr>
        <w:tc>
          <w:tcPr/>
          <w:p>
            <w:pPr>
              <w:pStyle w:val="Compact"/>
            </w:pPr>
            <w:r>
              <w:t xml:space="preserve">Ecosystem and accelerator record</w:t>
            </w:r>
          </w:p>
        </w:tc>
        <w:tc>
          <w:tcPr/>
          <w:p>
            <w:pPr>
              <w:pStyle w:val="Compact"/>
            </w:pPr>
            <w:r>
              <w:t xml:space="preserve">Startupbootcamp AfriTech alumnus; United Africa Blockchain Association (UABA) leadership</w:t>
            </w:r>
          </w:p>
        </w:tc>
      </w:tr>
      <w:tr>
        <w:tc>
          <w:tcPr/>
          <w:p>
            <w:pPr>
              <w:pStyle w:val="Compact"/>
            </w:pPr>
            <w:r>
              <w:t xml:space="preserve">Independent public record</w:t>
            </w:r>
          </w:p>
        </w:tc>
        <w:tc>
          <w:tcPr/>
          <w:p>
            <w:pPr>
              <w:pStyle w:val="Compact"/>
            </w:pPr>
            <w:r>
              <w:t xml:space="preserve">Companies House (UK); Techpoint Africa (6 June 2025); Emerging Tech Africa (23 June 2022); Medium; RocketReach</w:t>
            </w:r>
          </w:p>
        </w:tc>
      </w:tr>
    </w:tbl>
    <w:bookmarkEnd w:id="11"/>
    <w:bookmarkStart w:id="12" w:name="X6f0b221d42f5612689ff7dfc5d1d9f5f676122e"/>
    <w:p>
      <w:pPr>
        <w:pStyle w:val="Heading2"/>
      </w:pPr>
      <w:r>
        <w:t xml:space="preserve">3. Government digital-transformation and policy experience</w:t>
      </w:r>
    </w:p>
    <w:p>
      <w:pPr>
        <w:pStyle w:val="FirstParagraph"/>
      </w:pPr>
      <w:r>
        <w:t xml:space="preserve">The promoter's</w:t>
      </w:r>
      <w:r>
        <w:t xml:space="preserve"> </w:t>
      </w:r>
      <w:r>
        <w:rPr>
          <w:b/>
          <w:bCs/>
        </w:rPr>
        <w:t xml:space="preserve">Digital Government Readiness Assessment</w:t>
      </w:r>
      <w:r>
        <w:t xml:space="preserve"> </w:t>
      </w:r>
      <w:r>
        <w:t xml:space="preserve">(credential number</w:t>
      </w:r>
      <w:r>
        <w:t xml:space="preserve"> </w:t>
      </w:r>
      <w:r>
        <w:rPr>
          <w:b/>
          <w:bCs/>
        </w:rPr>
        <w:t xml:space="preserve">0000066720-0000157752</w:t>
      </w:r>
      <w:r>
        <w:t xml:space="preserve">) is directly on point for a platform intended to sit inside Government and to be assessed by a ministry's own advisers. It concerns how a public body establishes readiness for digital service delivery — the same question a Government appraiser will ask of this platform.</w:t>
      </w:r>
    </w:p>
    <w:p>
      <w:pPr>
        <w:pStyle w:val="BodyText"/>
      </w:pPr>
      <w:r>
        <w:rPr>
          <w:b/>
          <w:bCs/>
        </w:rPr>
        <w:t xml:space="preserve">Leading Equitable Organisations</w:t>
      </w:r>
      <w:r>
        <w:t xml:space="preserve"> </w:t>
      </w:r>
      <w:r>
        <w:t xml:space="preserve">and</w:t>
      </w:r>
      <w:r>
        <w:t xml:space="preserve"> </w:t>
      </w:r>
      <w:r>
        <w:rPr>
          <w:b/>
          <w:bCs/>
        </w:rPr>
        <w:t xml:space="preserve">Innovative Business Models for Better Impact</w:t>
      </w:r>
      <w:r>
        <w:t xml:space="preserve"> </w:t>
      </w:r>
      <w:r>
        <w:t xml:space="preserve">address how public-purpose institutions design programmes that reach people fairly and are structured to deliver measurable impact. A policy-simulation platform for sixteen institutions is judged on exactly those terms: whether the instrument improves the reach and the quality of a policy decision, and whether it is set up to be sustained.</w:t>
      </w:r>
    </w:p>
    <w:p>
      <w:pPr>
        <w:pStyle w:val="BodyText"/>
      </w:pPr>
      <w:r>
        <w:t xml:space="preserve">This experience is a</w:t>
      </w:r>
      <w:r>
        <w:t xml:space="preserve"> </w:t>
      </w:r>
      <w:r>
        <w:rPr>
          <w:i/>
          <w:iCs/>
        </w:rPr>
        <w:t xml:space="preserve">capability</w:t>
      </w:r>
      <w:r>
        <w:t xml:space="preserve"> </w:t>
      </w:r>
      <w:r>
        <w:t xml:space="preserve">record, not a claim of prior Government deployment.</w:t>
      </w:r>
      <w:r>
        <w:t xml:space="preserve"> </w:t>
      </w:r>
      <w:r>
        <w:rPr>
          <w:b/>
          <w:bCs/>
        </w:rPr>
        <w:t xml:space="preserve">No claim is made in this statement that Oreida Pvt Ltd has itself delivered a national policy platform before.</w:t>
      </w:r>
      <w:r>
        <w:t xml:space="preserve"> </w:t>
      </w:r>
      <w:r>
        <w:t xml:space="preserve">The platform proposed is new; the capability to build, run and support it is what this statement evidences.</w:t>
      </w:r>
    </w:p>
    <w:bookmarkEnd w:id="12"/>
    <w:bookmarkStart w:id="13" w:name="X2af7d8be1cdc3993fc9e5bae6bc5de6b44da984"/>
    <w:p>
      <w:pPr>
        <w:pStyle w:val="Heading2"/>
      </w:pPr>
      <w:r>
        <w:t xml:space="preserve">4. Artificial-intelligence and data capability</w:t>
      </w:r>
    </w:p>
    <w:p>
      <w:pPr>
        <w:pStyle w:val="FirstParagraph"/>
      </w:pPr>
      <w:r>
        <w:t xml:space="preserve">The promoter holds</w:t>
      </w:r>
      <w:r>
        <w:t xml:space="preserve"> </w:t>
      </w:r>
      <w:r>
        <w:rPr>
          <w:b/>
          <w:bCs/>
        </w:rPr>
        <w:t xml:space="preserve">Google AI for K12 Educators</w:t>
      </w:r>
      <w:r>
        <w:t xml:space="preserve"> </w:t>
      </w:r>
      <w:r>
        <w:t xml:space="preserve">(credential</w:t>
      </w:r>
      <w:r>
        <w:t xml:space="preserve"> </w:t>
      </w:r>
      <w:r>
        <w:rPr>
          <w:b/>
          <w:bCs/>
        </w:rPr>
        <w:t xml:space="preserve">438018998</w:t>
      </w:r>
      <w:r>
        <w:t xml:space="preserve">) and</w:t>
      </w:r>
      <w:r>
        <w:t xml:space="preserve"> </w:t>
      </w:r>
      <w:r>
        <w:rPr>
          <w:b/>
          <w:bCs/>
        </w:rPr>
        <w:t xml:space="preserve">Intermediate use of Google Workspace for Education Fundamentals</w:t>
      </w:r>
      <w:r>
        <w:t xml:space="preserve"> </w:t>
      </w:r>
      <w:r>
        <w:t xml:space="preserve">(credential</w:t>
      </w:r>
      <w:r>
        <w:t xml:space="preserve"> </w:t>
      </w:r>
      <w:r>
        <w:rPr>
          <w:b/>
          <w:bCs/>
        </w:rPr>
        <w:t xml:space="preserve">437447288</w:t>
      </w:r>
      <w:r>
        <w:t xml:space="preserve">), both issued by Google in November 2025 and valid to November 2035. These evidence working command of applied artificial intelligence in an educational and public-institution setting — the setting in which a policy-simulation capability is introduced to officers who are not technologists.</w:t>
      </w:r>
    </w:p>
    <w:p>
      <w:pPr>
        <w:pStyle w:val="BodyText"/>
      </w:pPr>
      <w:r>
        <w:t xml:space="preserve">The platform's own design decision is that the parts written by artificial intelligence are produced by the</w:t>
      </w:r>
      <w:r>
        <w:t xml:space="preserve"> </w:t>
      </w:r>
      <w:r>
        <w:rPr>
          <w:b/>
          <w:bCs/>
        </w:rPr>
        <w:t xml:space="preserve">Nzwisiso AI Policy Simulation Engine™</w:t>
      </w:r>
      <w:r>
        <w:t xml:space="preserve"> </w:t>
      </w:r>
      <w:r>
        <w:t xml:space="preserve">over a defined interface, and that the same department and the same policy text always produce a byte-identical result. The capability statement supports that decision; the technical specification that follows it describes how it is met.</w:t>
      </w:r>
    </w:p>
    <w:bookmarkEnd w:id="13"/>
    <w:bookmarkStart w:id="14" w:name="X6116e8d0b1823ece569b38a465b201aff823374"/>
    <w:p>
      <w:pPr>
        <w:pStyle w:val="Heading2"/>
      </w:pPr>
      <w:r>
        <w:t xml:space="preserve">5. Software-engineering and blockchain pedigree</w:t>
      </w:r>
    </w:p>
    <w:p>
      <w:pPr>
        <w:pStyle w:val="FirstParagraph"/>
      </w:pPr>
      <w:r>
        <w:t xml:space="preserve">Tadii Tendayi's software-engineering record runs through</w:t>
      </w:r>
      <w:r>
        <w:t xml:space="preserve"> </w:t>
      </w:r>
      <w:r>
        <w:rPr>
          <w:b/>
          <w:bCs/>
        </w:rPr>
        <w:t xml:space="preserve">cBLOCK</w:t>
      </w:r>
      <w:r>
        <w:t xml:space="preserve"> </w:t>
      </w:r>
      <w:r>
        <w:t xml:space="preserve">(blockchain software development, a Startupbootcamp project) and</w:t>
      </w:r>
      <w:r>
        <w:t xml:space="preserve"> </w:t>
      </w:r>
      <w:r>
        <w:rPr>
          <w:b/>
          <w:bCs/>
        </w:rPr>
        <w:t xml:space="preserve">BitFlex</w:t>
      </w:r>
      <w:r>
        <w:t xml:space="preserve"> </w:t>
      </w:r>
      <w:r>
        <w:t xml:space="preserve">(a Zimbabwean digital-asset platform), supported by the</w:t>
      </w:r>
      <w:r>
        <w:t xml:space="preserve"> </w:t>
      </w:r>
      <w:r>
        <w:rPr>
          <w:b/>
          <w:bCs/>
        </w:rPr>
        <w:t xml:space="preserve">Diploma In Blockchain Technology And Applications</w:t>
      </w:r>
      <w:r>
        <w:t xml:space="preserve"> </w:t>
      </w:r>
      <w:r>
        <w:t xml:space="preserve">(credential</w:t>
      </w:r>
      <w:r>
        <w:t xml:space="preserve"> </w:t>
      </w:r>
      <w:r>
        <w:rPr>
          <w:b/>
          <w:bCs/>
        </w:rPr>
        <w:t xml:space="preserve">2097-18411115</w:t>
      </w:r>
      <w:r>
        <w:t xml:space="preserve">), the</w:t>
      </w:r>
      <w:r>
        <w:t xml:space="preserve"> </w:t>
      </w:r>
      <w:r>
        <w:rPr>
          <w:b/>
          <w:bCs/>
        </w:rPr>
        <w:t xml:space="preserve">Diploma In Cryptocurrency</w:t>
      </w:r>
      <w:r>
        <w:t xml:space="preserve"> </w:t>
      </w:r>
      <w:r>
        <w:t xml:space="preserve">(credential</w:t>
      </w:r>
      <w:r>
        <w:t xml:space="preserve"> </w:t>
      </w:r>
      <w:r>
        <w:rPr>
          <w:b/>
          <w:bCs/>
        </w:rPr>
        <w:t xml:space="preserve">2373-18411115</w:t>
      </w:r>
      <w:r>
        <w:t xml:space="preserve">) and</w:t>
      </w:r>
      <w:r>
        <w:t xml:space="preserve"> </w:t>
      </w:r>
      <w:r>
        <w:rPr>
          <w:b/>
          <w:bCs/>
        </w:rPr>
        <w:t xml:space="preserve">Cryptocurrency: Regulations, Trading And The Future</w:t>
      </w:r>
      <w:r>
        <w:t xml:space="preserve"> </w:t>
      </w:r>
      <w:r>
        <w:t xml:space="preserve">(credential</w:t>
      </w:r>
      <w:r>
        <w:t xml:space="preserve"> </w:t>
      </w:r>
      <w:r>
        <w:rPr>
          <w:b/>
          <w:bCs/>
        </w:rPr>
        <w:t xml:space="preserve">2376-18411115</w:t>
      </w:r>
      <w:r>
        <w:t xml:space="preserve">).</w:t>
      </w:r>
    </w:p>
    <w:p>
      <w:pPr>
        <w:pStyle w:val="BodyText"/>
      </w:pPr>
      <w:r>
        <w:t xml:space="preserve">The relevance to a policy platform is engineering discipline in systems that must be built to be trusted with real institutional use: deterministic behaviour, verifiable records, and separation of a demonstration from a production service. This is the discipline the proposal's three named build steps are designed to harden.</w:t>
      </w:r>
    </w:p>
    <w:bookmarkEnd w:id="14"/>
    <w:bookmarkStart w:id="15" w:name="Xbcfb072d94dc9efeaf09afd3697cd9a910b764b"/>
    <w:p>
      <w:pPr>
        <w:pStyle w:val="Heading2"/>
      </w:pPr>
      <w:r>
        <w:t xml:space="preserve">6. International ecosystem, partnerships and programme experience</w:t>
      </w:r>
    </w:p>
    <w:p>
      <w:pPr>
        <w:pStyle w:val="FirstParagraph"/>
      </w:pPr>
      <w:r>
        <w:t xml:space="preserve">The promoter's work has involved engagement with international technology and development ecosystems — including</w:t>
      </w:r>
      <w:r>
        <w:t xml:space="preserve"> </w:t>
      </w:r>
      <w:r>
        <w:rPr>
          <w:b/>
          <w:bCs/>
        </w:rPr>
        <w:t xml:space="preserve">Celo</w:t>
      </w:r>
      <w:r>
        <w:t xml:space="preserve">,</w:t>
      </w:r>
      <w:r>
        <w:t xml:space="preserve"> </w:t>
      </w:r>
      <w:r>
        <w:rPr>
          <w:b/>
          <w:bCs/>
        </w:rPr>
        <w:t xml:space="preserve">Polygon</w:t>
      </w:r>
      <w:r>
        <w:t xml:space="preserve">,</w:t>
      </w:r>
      <w:r>
        <w:t xml:space="preserve"> </w:t>
      </w:r>
      <w:r>
        <w:rPr>
          <w:b/>
          <w:bCs/>
        </w:rPr>
        <w:t xml:space="preserve">GoodDollar</w:t>
      </w:r>
      <w:r>
        <w:t xml:space="preserve"> </w:t>
      </w:r>
      <w:r>
        <w:t xml:space="preserve">and the</w:t>
      </w:r>
      <w:r>
        <w:t xml:space="preserve"> </w:t>
      </w:r>
      <w:r>
        <w:rPr>
          <w:b/>
          <w:bCs/>
        </w:rPr>
        <w:t xml:space="preserve">Zcash</w:t>
      </w:r>
      <w:r>
        <w:t xml:space="preserve"> </w:t>
      </w:r>
      <w:r>
        <w:t xml:space="preserve">community — and with programmes run by the</w:t>
      </w:r>
      <w:r>
        <w:t xml:space="preserve"> </w:t>
      </w:r>
      <w:r>
        <w:rPr>
          <w:b/>
          <w:bCs/>
        </w:rPr>
        <w:t xml:space="preserve">World Bank Group</w:t>
      </w:r>
      <w:r>
        <w:t xml:space="preserve">, whose certificates are held at Annex B. That range evidences the ability to work inside structured programme frameworks and international partnerships rather than within a single isolated technology environment.</w:t>
      </w:r>
    </w:p>
    <w:p>
      <w:pPr>
        <w:pStyle w:val="BodyText"/>
      </w:pPr>
      <w:r>
        <w:t xml:space="preserve">The independent public record corroborating this activity is listed at Annex A.</w:t>
      </w:r>
    </w:p>
    <w:bookmarkEnd w:id="15"/>
    <w:bookmarkStart w:id="16" w:name="X087fc279988a2eafbc0a26f6018cf35dcaa08c1"/>
    <w:p>
      <w:pPr>
        <w:pStyle w:val="Heading2"/>
      </w:pPr>
      <w:r>
        <w:t xml:space="preserve">7. Leadership and accountability</w:t>
      </w:r>
    </w:p>
    <w:p>
      <w:pPr>
        <w:pStyle w:val="FirstParagraph"/>
      </w:pPr>
      <w:r>
        <w:t xml:space="preserve">Tadii Tendayi is</w:t>
      </w:r>
      <w:r>
        <w:t xml:space="preserve"> </w:t>
      </w:r>
      <w:r>
        <w:rPr>
          <w:b/>
          <w:bCs/>
        </w:rPr>
        <w:t xml:space="preserve">Chairman of the UABA Zimbabwe</w:t>
      </w:r>
      <w:r>
        <w:t xml:space="preserve">, whose work covers blockchain education, technology adoption, partnerships, skills development and ecosystem development. The promoter's programmes are run as Oreida Pvt Ltd undertakings: every document reads</w:t>
      </w:r>
      <w:r>
        <w:t xml:space="preserve"> </w:t>
      </w:r>
      <w:r>
        <w:rPr>
          <w:b/>
          <w:bCs/>
        </w:rPr>
        <w:t xml:space="preserve">"Oreida Pvt Ltd proposes…"</w:t>
      </w:r>
      <w:r>
        <w:t xml:space="preserve">, and the two named leads are accountable for the business and the technical delivery respectively.</w:t>
      </w:r>
    </w:p>
    <w:bookmarkEnd w:id="16"/>
    <w:bookmarkStart w:id="17" w:name="X8e3cd2b1f1edd57acb192631cc36ec1c0d722d8"/>
    <w:p>
      <w:pPr>
        <w:pStyle w:val="Heading2"/>
      </w:pPr>
      <w:r>
        <w:t xml:space="preserve">8. Capability-to-project alignment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the Nzwisiso platform needs</w:t>
            </w:r>
          </w:p>
        </w:tc>
        <w:tc>
          <w:tcPr/>
          <w:p>
            <w:pPr>
              <w:pStyle w:val="Compact"/>
            </w:pPr>
            <w:r>
              <w:t xml:space="preserve">Where the promoter's capability sits</w:t>
            </w:r>
          </w:p>
        </w:tc>
      </w:tr>
      <w:tr>
        <w:tc>
          <w:tcPr/>
          <w:p>
            <w:pPr>
              <w:pStyle w:val="Compact"/>
            </w:pPr>
            <w:r>
              <w:t xml:space="preserve">Digital-government readiness and public-sector fit</w:t>
            </w:r>
          </w:p>
        </w:tc>
        <w:tc>
          <w:tcPr/>
          <w:p>
            <w:pPr>
              <w:pStyle w:val="Compact"/>
            </w:pPr>
            <w:r>
              <w:t xml:space="preserve">Digital Government Readiness Assessment</w:t>
            </w:r>
          </w:p>
        </w:tc>
      </w:tr>
      <w:tr>
        <w:tc>
          <w:tcPr/>
          <w:p>
            <w:pPr>
              <w:pStyle w:val="Compact"/>
            </w:pPr>
            <w:r>
              <w:t xml:space="preserve">Applied artificial intelligence for non-technical officers</w:t>
            </w:r>
          </w:p>
        </w:tc>
        <w:tc>
          <w:tcPr/>
          <w:p>
            <w:pPr>
              <w:pStyle w:val="Compact"/>
            </w:pPr>
            <w:r>
              <w:t xml:space="preserve">Google AI for K12 Educators; Google Workspace for Education Fundamentals</w:t>
            </w:r>
          </w:p>
        </w:tc>
      </w:tr>
      <w:tr>
        <w:tc>
          <w:tcPr/>
          <w:p>
            <w:pPr>
              <w:pStyle w:val="Compact"/>
            </w:pPr>
            <w:r>
              <w:t xml:space="preserve">Policy and institutional design</w:t>
            </w:r>
          </w:p>
        </w:tc>
        <w:tc>
          <w:tcPr/>
          <w:p>
            <w:pPr>
              <w:pStyle w:val="Compact"/>
            </w:pPr>
            <w:r>
              <w:t xml:space="preserve">Leading Equitable Organisations; Innovative Business Models for Better Impact</w:t>
            </w:r>
          </w:p>
        </w:tc>
      </w:tr>
      <w:tr>
        <w:tc>
          <w:tcPr/>
          <w:p>
            <w:pPr>
              <w:pStyle w:val="Compact"/>
            </w:pPr>
            <w:r>
              <w:t xml:space="preserve">Economic and financial reasoning for policy appraisal</w:t>
            </w:r>
          </w:p>
        </w:tc>
        <w:tc>
          <w:tcPr/>
          <w:p>
            <w:pPr>
              <w:pStyle w:val="Compact"/>
            </w:pPr>
            <w:r>
              <w:t xml:space="preserve">Economics For Capital Markets; Accounting Fundamentals; Funding Concepts</w:t>
            </w:r>
          </w:p>
        </w:tc>
      </w:tr>
      <w:tr>
        <w:tc>
          <w:tcPr/>
          <w:p>
            <w:pPr>
              <w:pStyle w:val="Compact"/>
            </w:pPr>
            <w:r>
              <w:t xml:space="preserve">Risk, financing and inclusion</w:t>
            </w:r>
          </w:p>
        </w:tc>
        <w:tc>
          <w:tcPr/>
          <w:p>
            <w:pPr>
              <w:pStyle w:val="Compact"/>
            </w:pPr>
            <w:r>
              <w:t xml:space="preserve">Disaster Risk Financing; Financial Risk Management Products; A Systemic Approach To Financial Inclusion</w:t>
            </w:r>
          </w:p>
        </w:tc>
      </w:tr>
      <w:tr>
        <w:tc>
          <w:tcPr/>
          <w:p>
            <w:pPr>
              <w:pStyle w:val="Compact"/>
            </w:pPr>
            <w:r>
              <w:t xml:space="preserve">Public communication of findings</w:t>
            </w:r>
          </w:p>
        </w:tc>
        <w:tc>
          <w:tcPr/>
          <w:p>
            <w:pPr>
              <w:pStyle w:val="Compact"/>
            </w:pPr>
            <w:r>
              <w:t xml:space="preserve">Diploma in Public Relations</w:t>
            </w:r>
          </w:p>
        </w:tc>
      </w:tr>
      <w:tr>
        <w:tc>
          <w:tcPr/>
          <w:p>
            <w:pPr>
              <w:pStyle w:val="Compact"/>
            </w:pPr>
            <w:r>
              <w:t xml:space="preserve">Engineering discipline for a trusted public system</w:t>
            </w:r>
          </w:p>
        </w:tc>
        <w:tc>
          <w:tcPr/>
          <w:p>
            <w:pPr>
              <w:pStyle w:val="Compact"/>
            </w:pPr>
            <w:r>
              <w:t xml:space="preserve">cBLOCK; BitFlex; blockchain and cryptocurrency diplomas</w:t>
            </w:r>
          </w:p>
        </w:tc>
      </w:tr>
      <w:tr>
        <w:tc>
          <w:tcPr/>
          <w:p>
            <w:pPr>
              <w:pStyle w:val="Compact"/>
            </w:pPr>
            <w:r>
              <w:t xml:space="preserve">Partnership and programme delivery</w:t>
            </w:r>
          </w:p>
        </w:tc>
        <w:tc>
          <w:tcPr/>
          <w:p>
            <w:pPr>
              <w:pStyle w:val="Compact"/>
            </w:pPr>
            <w:r>
              <w:t xml:space="preserve">Startupbootcamp AfriTech; World Bank Group programmes; UABA leadership</w:t>
            </w:r>
          </w:p>
        </w:tc>
      </w:tr>
    </w:tbl>
    <w:bookmarkEnd w:id="17"/>
    <w:bookmarkStart w:id="18" w:name="X111c5a245cd9c4fefffa294526cc09b5b9ea9f8"/>
    <w:p>
      <w:pPr>
        <w:pStyle w:val="Heading2"/>
      </w:pPr>
      <w:r>
        <w:t xml:space="preserve">9. Evidence classification</w:t>
      </w:r>
    </w:p>
    <w:p>
      <w:pPr>
        <w:pStyle w:val="Compact"/>
        <w:numPr>
          <w:ilvl w:val="0"/>
          <w:numId w:val="1001"/>
        </w:numPr>
      </w:pPr>
      <w:r>
        <w:rPr>
          <w:b/>
          <w:bCs/>
        </w:rPr>
        <w:t xml:space="preserve">PRIMARY PROJECT EVIDENCE</w:t>
      </w:r>
      <w:r>
        <w:t xml:space="preserve"> </w:t>
      </w:r>
      <w:r>
        <w:t xml:space="preserve">— documents held directly by the promoter, including the certificates whose credential numbers are printed at Annex B.</w:t>
      </w:r>
    </w:p>
    <w:p>
      <w:pPr>
        <w:pStyle w:val="Compact"/>
        <w:numPr>
          <w:ilvl w:val="0"/>
          <w:numId w:val="1001"/>
        </w:numPr>
      </w:pPr>
      <w:r>
        <w:rPr>
          <w:b/>
          <w:bCs/>
        </w:rPr>
        <w:t xml:space="preserve">OFFICIAL / ECOSYSTEM EVIDENCE</w:t>
      </w:r>
      <w:r>
        <w:t xml:space="preserve"> </w:t>
      </w:r>
      <w:r>
        <w:t xml:space="preserve">— records published by programmes and organisations (World Bank Group, Google, corporate finance bodies).</w:t>
      </w:r>
    </w:p>
    <w:p>
      <w:pPr>
        <w:pStyle w:val="Compact"/>
        <w:numPr>
          <w:ilvl w:val="0"/>
          <w:numId w:val="1001"/>
        </w:numPr>
      </w:pPr>
      <w:r>
        <w:rPr>
          <w:b/>
          <w:bCs/>
        </w:rPr>
        <w:t xml:space="preserve">INDEPENDENT EVIDENCE</w:t>
      </w:r>
      <w:r>
        <w:t xml:space="preserve"> </w:t>
      </w:r>
      <w:r>
        <w:t xml:space="preserve">— third-party journalism and external publications (Techpoint Africa; Emerging Tech Africa).</w:t>
      </w:r>
    </w:p>
    <w:p>
      <w:pPr>
        <w:pStyle w:val="Compact"/>
        <w:numPr>
          <w:ilvl w:val="0"/>
          <w:numId w:val="1001"/>
        </w:numPr>
      </w:pPr>
      <w:r>
        <w:rPr>
          <w:b/>
          <w:bCs/>
        </w:rPr>
        <w:t xml:space="preserve">SUPPORTING PUBLIC EVIDENCE</w:t>
      </w:r>
      <w:r>
        <w:t xml:space="preserve"> </w:t>
      </w:r>
      <w:r>
        <w:t xml:space="preserve">— public professional profiles and corroborating records (Companies House; Medium; RocketReach).</w:t>
      </w:r>
    </w:p>
    <w:p>
      <w:pPr>
        <w:pStyle w:val="FirstParagraph"/>
      </w:pPr>
      <w:r>
        <w:t xml:space="preserve">Where an award, grant or certificate is relied upon, the preferred evidence is the certificate itself, the organiser's own announcement, or the grant letter.</w:t>
      </w:r>
    </w:p>
    <w:bookmarkEnd w:id="18"/>
    <w:bookmarkStart w:id="19" w:name="Xc72408c88f6aa3f318e9c4f077d22b48a39071f"/>
    <w:p>
      <w:pPr>
        <w:pStyle w:val="Heading2"/>
      </w:pPr>
      <w:r>
        <w:t xml:space="preserve">10. Conclusion</w:t>
      </w:r>
    </w:p>
    <w:p>
      <w:pPr>
        <w:pStyle w:val="FirstParagraph"/>
      </w:pPr>
      <w:r>
        <w:t xml:space="preserve">Oreida Pvt Ltd puts forward, in support of the Nzwisiso AI Policy Platform, a technical lead with documented capability in digital government, applied artificial intelligence, policy and financial analysis, and software engineering, held as verifiable certificates and complemented by an independent public record. On that basis, the Government and ZEPARI can assess the people promoting and technically leading the proposed platform on evidence rather than assertion.</w:t>
      </w:r>
    </w:p>
    <w:p>
      <w:pPr>
        <w:pStyle w:val="BodyText"/>
      </w:pPr>
      <w:r>
        <w:t xml:space="preserve">This statement is intended to accompany the principal Oreida proposal.</w:t>
      </w:r>
    </w:p>
    <w:p>
      <w:r>
        <w:pict>
          <v:rect style="width:0;height:1.5pt" o:hralign="center" o:hrstd="t" o:hr="t"/>
        </w:pict>
      </w:r>
    </w:p>
    <w:bookmarkEnd w:id="19"/>
    <w:bookmarkStart w:id="20" w:name="annex-a--public-evidence-register"/>
    <w:p>
      <w:pPr>
        <w:pStyle w:val="Heading2"/>
      </w:pPr>
      <w:r>
        <w:t xml:space="preserve">ANNEX A — Public evidence register</w:t>
      </w:r>
    </w:p>
    <w:p>
      <w:pPr>
        <w:pStyle w:val="Compact"/>
        <w:numPr>
          <w:ilvl w:val="0"/>
          <w:numId w:val="1002"/>
        </w:numPr>
      </w:pPr>
      <w:r>
        <w:rPr>
          <w:b/>
          <w:bCs/>
        </w:rPr>
        <w:t xml:space="preserve">Companies House, GOV.UK (official):</w:t>
      </w:r>
      <w:r>
        <w:t xml:space="preserve"> </w:t>
      </w:r>
      <w:r>
        <w:t xml:space="preserve">Tadii TENDAYI — born April 1986, Zimbabwean, resident Malaysia — SURFACE COLLECTIVE LIMITED (08625479), Director, appointed 26 July 2013, resigned 1 January 2016, company dissolved.</w:t>
      </w:r>
    </w:p>
    <w:p>
      <w:pPr>
        <w:pStyle w:val="Compact"/>
        <w:numPr>
          <w:ilvl w:val="0"/>
          <w:numId w:val="1002"/>
        </w:numPr>
      </w:pPr>
      <w:r>
        <w:rPr>
          <w:b/>
          <w:bCs/>
        </w:rPr>
        <w:t xml:space="preserve">Techpoint Africa, 6 June 2025:</w:t>
      </w:r>
      <w:r>
        <w:t xml:space="preserve"> </w:t>
      </w:r>
      <w:r>
        <w:t xml:space="preserve">"How Tadii Tendayi is using blockchain and crypto to support vulnerable communities in Zimbabwe".</w:t>
      </w:r>
    </w:p>
    <w:p>
      <w:pPr>
        <w:pStyle w:val="Compact"/>
        <w:numPr>
          <w:ilvl w:val="0"/>
          <w:numId w:val="1002"/>
        </w:numPr>
      </w:pPr>
      <w:r>
        <w:rPr>
          <w:b/>
          <w:bCs/>
        </w:rPr>
        <w:t xml:space="preserve">Emerging Tech Africa, 23 June 2022:</w:t>
      </w:r>
      <w:r>
        <w:t xml:space="preserve"> </w:t>
      </w:r>
      <w:r>
        <w:t xml:space="preserve">"How Tadii Tendayi is building an inclusive blockchain for Zimbabwe".</w:t>
      </w:r>
    </w:p>
    <w:p>
      <w:pPr>
        <w:pStyle w:val="Compact"/>
        <w:numPr>
          <w:ilvl w:val="0"/>
          <w:numId w:val="1002"/>
        </w:numPr>
      </w:pPr>
      <w:r>
        <w:rPr>
          <w:b/>
          <w:bCs/>
        </w:rPr>
        <w:t xml:space="preserve">Medium (bitflexjack.medium.com):</w:t>
      </w:r>
      <w:r>
        <w:t xml:space="preserve"> </w:t>
      </w:r>
      <w:r>
        <w:t xml:space="preserve">Founder | c-BLOCK | Financial Inclusion | UBI | FinTech | United Africa Blockchain Association | Blockchain Consultant | Sankore2.0.</w:t>
      </w:r>
    </w:p>
    <w:p>
      <w:pPr>
        <w:pStyle w:val="Compact"/>
        <w:numPr>
          <w:ilvl w:val="0"/>
          <w:numId w:val="1002"/>
        </w:numPr>
      </w:pPr>
      <w:r>
        <w:rPr>
          <w:b/>
          <w:bCs/>
        </w:rPr>
        <w:t xml:space="preserve">RocketReach:</w:t>
      </w:r>
      <w:r>
        <w:t xml:space="preserve"> </w:t>
      </w:r>
      <w:r>
        <w:t xml:space="preserve">Sankore 2.0 — Head of Business Development.</w:t>
      </w:r>
    </w:p>
    <w:p>
      <w:pPr>
        <w:pStyle w:val="Compact"/>
        <w:numPr>
          <w:ilvl w:val="0"/>
          <w:numId w:val="1002"/>
        </w:numPr>
      </w:pPr>
      <w:r>
        <w:rPr>
          <w:b/>
          <w:bCs/>
        </w:rPr>
        <w:t xml:space="preserve">Startupbootcamp AfriTech</w:t>
      </w:r>
      <w:r>
        <w:t xml:space="preserve"> </w:t>
      </w:r>
      <w:r>
        <w:t xml:space="preserve">(LinkedIn showcase): corroborates the accelerator link.</w:t>
      </w:r>
    </w:p>
    <w:p>
      <w:pPr>
        <w:pStyle w:val="Compact"/>
        <w:numPr>
          <w:ilvl w:val="0"/>
          <w:numId w:val="1002"/>
        </w:numPr>
      </w:pPr>
      <w:r>
        <w:rPr>
          <w:b/>
          <w:bCs/>
        </w:rPr>
        <w:t xml:space="preserve">LinkedIn public view:</w:t>
      </w:r>
      <w:r>
        <w:t xml:space="preserve"> </w:t>
      </w:r>
      <w:r>
        <w:t xml:space="preserve">Tadii Tendayi — United Africa Blockchain Association, London, England; sites bitflex.app · uaba.io · c-block.io.</w:t>
      </w:r>
    </w:p>
    <w:bookmarkEnd w:id="20"/>
    <w:bookmarkStart w:id="21" w:name="X3d4cc5b0778509ae62d23e111d7e4f6962f24ec"/>
    <w:p>
      <w:pPr>
        <w:pStyle w:val="Heading2"/>
      </w:pPr>
      <w:r>
        <w:t xml:space="preserve">ANNEX B — Recognised certifications, with credential numbers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Certification</w:t>
            </w:r>
          </w:p>
        </w:tc>
        <w:tc>
          <w:tcPr/>
          <w:p>
            <w:pPr>
              <w:pStyle w:val="Compact"/>
            </w:pPr>
            <w:r>
              <w:t xml:space="preserve">Issuer</w:t>
            </w:r>
          </w:p>
        </w:tc>
        <w:tc>
          <w:tcPr/>
          <w:p>
            <w:pPr>
              <w:pStyle w:val="Compact"/>
            </w:pPr>
            <w:r>
              <w:t xml:space="preserve">Issued</w:t>
            </w:r>
          </w:p>
        </w:tc>
        <w:tc>
          <w:tcPr/>
          <w:p>
            <w:pPr>
              <w:pStyle w:val="Compact"/>
            </w:pPr>
            <w:r>
              <w:t xml:space="preserve">Credential number</w:t>
            </w:r>
          </w:p>
        </w:tc>
      </w:tr>
      <w:tr>
        <w:tc>
          <w:tcPr/>
          <w:p>
            <w:pPr>
              <w:pStyle w:val="Compact"/>
            </w:pPr>
            <w:r>
              <w:t xml:space="preserve">Google AI for K12 Educators</w:t>
            </w:r>
          </w:p>
        </w:tc>
        <w:tc>
          <w:tcPr/>
          <w:p>
            <w:pPr>
              <w:pStyle w:val="Compact"/>
            </w:pPr>
            <w:r>
              <w:t xml:space="preserve">Google</w:t>
            </w:r>
          </w:p>
        </w:tc>
        <w:tc>
          <w:tcPr/>
          <w:p>
            <w:pPr>
              <w:pStyle w:val="Compact"/>
            </w:pPr>
            <w:r>
              <w:t xml:space="preserve">Nov 2025</w:t>
            </w:r>
          </w:p>
        </w:tc>
        <w:tc>
          <w:tcPr/>
          <w:p>
            <w:pPr>
              <w:pStyle w:val="Compact"/>
            </w:pPr>
            <w:r>
              <w:t xml:space="preserve">438018998</w:t>
            </w:r>
          </w:p>
        </w:tc>
      </w:tr>
      <w:tr>
        <w:tc>
          <w:tcPr/>
          <w:p>
            <w:pPr>
              <w:pStyle w:val="Compact"/>
            </w:pPr>
            <w:r>
              <w:t xml:space="preserve">Intermediate use of Google Workspace for Education Fundamentals</w:t>
            </w:r>
          </w:p>
        </w:tc>
        <w:tc>
          <w:tcPr/>
          <w:p>
            <w:pPr>
              <w:pStyle w:val="Compact"/>
            </w:pPr>
            <w:r>
              <w:t xml:space="preserve">Google</w:t>
            </w:r>
          </w:p>
        </w:tc>
        <w:tc>
          <w:tcPr/>
          <w:p>
            <w:pPr>
              <w:pStyle w:val="Compact"/>
            </w:pPr>
            <w:r>
              <w:t xml:space="preserve">Nov 2025</w:t>
            </w:r>
          </w:p>
        </w:tc>
        <w:tc>
          <w:tcPr/>
          <w:p>
            <w:pPr>
              <w:pStyle w:val="Compact"/>
            </w:pPr>
            <w:r>
              <w:t xml:space="preserve">437447288</w:t>
            </w:r>
          </w:p>
        </w:tc>
      </w:tr>
      <w:tr>
        <w:tc>
          <w:tcPr/>
          <w:p>
            <w:pPr>
              <w:pStyle w:val="Compact"/>
            </w:pPr>
            <w:r>
              <w:t xml:space="preserve">Leading Equitable Organisations</w:t>
            </w:r>
          </w:p>
        </w:tc>
        <w:tc>
          <w:tcPr/>
          <w:p>
            <w:pPr>
              <w:pStyle w:val="Compact"/>
            </w:pPr>
            <w:r>
              <w:t xml:space="preserve">Digital Frontiers Institute</w:t>
            </w:r>
          </w:p>
        </w:tc>
        <w:tc>
          <w:tcPr/>
          <w:p>
            <w:pPr>
              <w:pStyle w:val="Compact"/>
            </w:pPr>
            <w:r>
              <w:t xml:space="preserve">Mar 2023</w:t>
            </w:r>
          </w:p>
        </w:tc>
        <w:tc>
          <w:tcPr/>
          <w:p>
            <w:pPr>
              <w:pStyle w:val="Compact"/>
            </w:pPr>
            <w:r>
              <w:t xml:space="preserve">—</w:t>
            </w:r>
          </w:p>
        </w:tc>
      </w:tr>
      <w:tr>
        <w:tc>
          <w:tcPr/>
          <w:p>
            <w:pPr>
              <w:pStyle w:val="Compact"/>
            </w:pPr>
            <w:r>
              <w:t xml:space="preserve">Funding Concepts</w:t>
            </w:r>
          </w:p>
        </w:tc>
        <w:tc>
          <w:tcPr/>
          <w:p>
            <w:pPr>
              <w:pStyle w:val="Compact"/>
            </w:pPr>
            <w:r>
              <w:t xml:space="preserve">Young African Leadership Initiative</w:t>
            </w:r>
          </w:p>
        </w:tc>
        <w:tc>
          <w:tcPr/>
          <w:p>
            <w:pPr>
              <w:pStyle w:val="Compact"/>
            </w:pPr>
            <w:r>
              <w:t xml:space="preserve">Jun 2021</w:t>
            </w:r>
          </w:p>
        </w:tc>
        <w:tc>
          <w:tcPr/>
          <w:p>
            <w:pPr>
              <w:pStyle w:val="Compact"/>
            </w:pPr>
            <w:r>
              <w:t xml:space="preserve">—</w:t>
            </w:r>
          </w:p>
        </w:tc>
      </w:tr>
      <w:tr>
        <w:tc>
          <w:tcPr/>
          <w:p>
            <w:pPr>
              <w:pStyle w:val="Compact"/>
            </w:pPr>
            <w:r>
              <w:t xml:space="preserve">Accounting Fundamentals</w:t>
            </w:r>
          </w:p>
        </w:tc>
        <w:tc>
          <w:tcPr/>
          <w:p>
            <w:pPr>
              <w:pStyle w:val="Compact"/>
            </w:pPr>
            <w:r>
              <w:t xml:space="preserve">Corporate Finance Institute</w:t>
            </w:r>
          </w:p>
        </w:tc>
        <w:tc>
          <w:tcPr/>
          <w:p>
            <w:pPr>
              <w:pStyle w:val="Compact"/>
            </w:pPr>
            <w:r>
              <w:t xml:space="preserve">Dec 2020</w:t>
            </w:r>
          </w:p>
        </w:tc>
        <w:tc>
          <w:tcPr/>
          <w:p>
            <w:pPr>
              <w:pStyle w:val="Compact"/>
            </w:pPr>
            <w:r>
              <w:t xml:space="preserve">27076444</w:t>
            </w:r>
          </w:p>
        </w:tc>
      </w:tr>
      <w:tr>
        <w:tc>
          <w:tcPr/>
          <w:p>
            <w:pPr>
              <w:pStyle w:val="Compact"/>
            </w:pPr>
            <w:r>
              <w:t xml:space="preserve">Economics For Capital Markets</w:t>
            </w:r>
          </w:p>
        </w:tc>
        <w:tc>
          <w:tcPr/>
          <w:p>
            <w:pPr>
              <w:pStyle w:val="Compact"/>
            </w:pPr>
            <w:r>
              <w:t xml:space="preserve">Corporate Finance Institute</w:t>
            </w:r>
          </w:p>
        </w:tc>
        <w:tc>
          <w:tcPr/>
          <w:p>
            <w:pPr>
              <w:pStyle w:val="Compact"/>
            </w:pPr>
            <w:r>
              <w:t xml:space="preserve">Dec 2020</w:t>
            </w:r>
          </w:p>
        </w:tc>
        <w:tc>
          <w:tcPr/>
          <w:p>
            <w:pPr>
              <w:pStyle w:val="Compact"/>
            </w:pPr>
            <w:r>
              <w:t xml:space="preserve">27040945</w:t>
            </w:r>
          </w:p>
        </w:tc>
      </w:tr>
      <w:tr>
        <w:tc>
          <w:tcPr/>
          <w:p>
            <w:pPr>
              <w:pStyle w:val="Compact"/>
            </w:pPr>
            <w:r>
              <w:t xml:space="preserve">Disaster Risk Financing</w:t>
            </w:r>
          </w:p>
        </w:tc>
        <w:tc>
          <w:tcPr/>
          <w:p>
            <w:pPr>
              <w:pStyle w:val="Compact"/>
            </w:pPr>
            <w:r>
              <w:t xml:space="preserve">World Bank Group</w:t>
            </w:r>
          </w:p>
        </w:tc>
        <w:tc>
          <w:tcPr/>
          <w:p>
            <w:pPr>
              <w:pStyle w:val="Compact"/>
            </w:pPr>
            <w:r>
              <w:t xml:space="preserve">Dec 2020</w:t>
            </w:r>
          </w:p>
        </w:tc>
        <w:tc>
          <w:tcPr/>
          <w:p>
            <w:pPr>
              <w:pStyle w:val="Compact"/>
            </w:pPr>
            <w:r>
              <w:t xml:space="preserve">00056359-0000157752</w:t>
            </w:r>
          </w:p>
        </w:tc>
      </w:tr>
      <w:tr>
        <w:tc>
          <w:tcPr/>
          <w:p>
            <w:pPr>
              <w:pStyle w:val="Compact"/>
            </w:pPr>
            <w:r>
              <w:t xml:space="preserve">Diploma in Public Relations</w:t>
            </w:r>
          </w:p>
        </w:tc>
        <w:tc>
          <w:tcPr/>
          <w:p>
            <w:pPr>
              <w:pStyle w:val="Compact"/>
            </w:pPr>
            <w:r>
              <w:t xml:space="preserve">Asean Online Education AOE</w:t>
            </w:r>
          </w:p>
        </w:tc>
        <w:tc>
          <w:tcPr/>
          <w:p>
            <w:pPr>
              <w:pStyle w:val="Compact"/>
            </w:pPr>
            <w:r>
              <w:t xml:space="preserve">Dec 2020</w:t>
            </w:r>
          </w:p>
        </w:tc>
        <w:tc>
          <w:tcPr/>
          <w:p>
            <w:pPr>
              <w:pStyle w:val="Compact"/>
            </w:pPr>
            <w:r>
              <w:t xml:space="preserve">1556-18411115</w:t>
            </w:r>
          </w:p>
        </w:tc>
      </w:tr>
      <w:tr>
        <w:tc>
          <w:tcPr/>
          <w:p>
            <w:pPr>
              <w:pStyle w:val="Compact"/>
            </w:pPr>
            <w:r>
              <w:t xml:space="preserve">Digital Government Readiness Assessment</w:t>
            </w:r>
          </w:p>
        </w:tc>
        <w:tc>
          <w:tcPr/>
          <w:p>
            <w:pPr>
              <w:pStyle w:val="Compact"/>
            </w:pPr>
            <w:r>
              <w:t xml:space="preserve">Asean Online Education AOE</w:t>
            </w:r>
          </w:p>
        </w:tc>
        <w:tc>
          <w:tcPr/>
          <w:p>
            <w:pPr>
              <w:pStyle w:val="Compact"/>
            </w:pPr>
            <w:r>
              <w:t xml:space="preserve">Nov 2020</w:t>
            </w:r>
          </w:p>
        </w:tc>
        <w:tc>
          <w:tcPr/>
          <w:p>
            <w:pPr>
              <w:pStyle w:val="Compact"/>
            </w:pPr>
            <w:r>
              <w:t xml:space="preserve">0000066720-0000157752</w:t>
            </w:r>
          </w:p>
        </w:tc>
      </w:tr>
      <w:tr>
        <w:tc>
          <w:tcPr/>
          <w:p>
            <w:pPr>
              <w:pStyle w:val="Compact"/>
            </w:pPr>
            <w:r>
              <w:t xml:space="preserve">Innovative Business Models for Better Impact</w:t>
            </w:r>
          </w:p>
        </w:tc>
        <w:tc>
          <w:tcPr/>
          <w:p>
            <w:pPr>
              <w:pStyle w:val="Compact"/>
            </w:pPr>
            <w:r>
              <w:t xml:space="preserve">World Bank Group</w:t>
            </w:r>
          </w:p>
        </w:tc>
        <w:tc>
          <w:tcPr/>
          <w:p>
            <w:pPr>
              <w:pStyle w:val="Compact"/>
            </w:pPr>
            <w:r>
              <w:t xml:space="preserve">Dec 2020</w:t>
            </w:r>
          </w:p>
        </w:tc>
        <w:tc>
          <w:tcPr/>
          <w:p>
            <w:pPr>
              <w:pStyle w:val="Compact"/>
            </w:pPr>
            <w:r>
              <w:t xml:space="preserve">00004300-0000157752</w:t>
            </w:r>
          </w:p>
        </w:tc>
      </w:tr>
      <w:tr>
        <w:tc>
          <w:tcPr/>
          <w:p>
            <w:pPr>
              <w:pStyle w:val="Compact"/>
            </w:pPr>
            <w:r>
              <w:t xml:space="preserve">Financial Risk Management Products</w:t>
            </w:r>
          </w:p>
        </w:tc>
        <w:tc>
          <w:tcPr/>
          <w:p>
            <w:pPr>
              <w:pStyle w:val="Compact"/>
            </w:pPr>
            <w:r>
              <w:t xml:space="preserve">World Bank Group</w:t>
            </w:r>
          </w:p>
        </w:tc>
        <w:tc>
          <w:tcPr/>
          <w:p>
            <w:pPr>
              <w:pStyle w:val="Compact"/>
            </w:pPr>
            <w:r>
              <w:t xml:space="preserve">Dec 2020</w:t>
            </w:r>
          </w:p>
        </w:tc>
        <w:tc>
          <w:tcPr/>
          <w:p>
            <w:pPr>
              <w:pStyle w:val="Compact"/>
            </w:pPr>
            <w:r>
              <w:t xml:space="preserve">00056358-0000157752</w:t>
            </w:r>
          </w:p>
        </w:tc>
      </w:tr>
      <w:tr>
        <w:tc>
          <w:tcPr/>
          <w:p>
            <w:pPr>
              <w:pStyle w:val="Compact"/>
            </w:pPr>
            <w:r>
              <w:t xml:space="preserve">Diploma In Blockchain Technology And Applications</w:t>
            </w:r>
          </w:p>
        </w:tc>
        <w:tc>
          <w:tcPr/>
          <w:p>
            <w:pPr>
              <w:pStyle w:val="Compact"/>
            </w:pPr>
            <w:r>
              <w:t xml:space="preserve">Asean Online Education AOE</w:t>
            </w:r>
          </w:p>
        </w:tc>
        <w:tc>
          <w:tcPr/>
          <w:p>
            <w:pPr>
              <w:pStyle w:val="Compact"/>
            </w:pPr>
            <w:r>
              <w:t xml:space="preserve">Dec 2020</w:t>
            </w:r>
          </w:p>
        </w:tc>
        <w:tc>
          <w:tcPr/>
          <w:p>
            <w:pPr>
              <w:pStyle w:val="Compact"/>
            </w:pPr>
            <w:r>
              <w:t xml:space="preserve">2097-18411115</w:t>
            </w:r>
          </w:p>
        </w:tc>
      </w:tr>
      <w:tr>
        <w:tc>
          <w:tcPr/>
          <w:p>
            <w:pPr>
              <w:pStyle w:val="Compact"/>
            </w:pPr>
            <w:r>
              <w:t xml:space="preserve">Diploma In Cryptocurrency</w:t>
            </w:r>
          </w:p>
        </w:tc>
        <w:tc>
          <w:tcPr/>
          <w:p>
            <w:pPr>
              <w:pStyle w:val="Compact"/>
            </w:pPr>
            <w:r>
              <w:t xml:space="preserve">Asean Online Education AOE</w:t>
            </w:r>
          </w:p>
        </w:tc>
        <w:tc>
          <w:tcPr/>
          <w:p>
            <w:pPr>
              <w:pStyle w:val="Compact"/>
            </w:pPr>
            <w:r>
              <w:t xml:space="preserve">Oct 2020</w:t>
            </w:r>
          </w:p>
        </w:tc>
        <w:tc>
          <w:tcPr/>
          <w:p>
            <w:pPr>
              <w:pStyle w:val="Compact"/>
            </w:pPr>
            <w:r>
              <w:t xml:space="preserve">2373-18411115</w:t>
            </w:r>
          </w:p>
        </w:tc>
      </w:tr>
      <w:tr>
        <w:tc>
          <w:tcPr/>
          <w:p>
            <w:pPr>
              <w:pStyle w:val="Compact"/>
            </w:pPr>
            <w:r>
              <w:t xml:space="preserve">Cryptocurrency: Regulations, Trading And The Future</w:t>
            </w:r>
          </w:p>
        </w:tc>
        <w:tc>
          <w:tcPr/>
          <w:p>
            <w:pPr>
              <w:pStyle w:val="Compact"/>
            </w:pPr>
            <w:r>
              <w:t xml:space="preserve">Asean Online Education AOE</w:t>
            </w:r>
          </w:p>
        </w:tc>
        <w:tc>
          <w:tcPr/>
          <w:p>
            <w:pPr>
              <w:pStyle w:val="Compact"/>
            </w:pPr>
            <w:r>
              <w:t xml:space="preserve">Oct 2020</w:t>
            </w:r>
          </w:p>
        </w:tc>
        <w:tc>
          <w:tcPr/>
          <w:p>
            <w:pPr>
              <w:pStyle w:val="Compact"/>
            </w:pPr>
            <w:r>
              <w:t xml:space="preserve">2376-18411115</w:t>
            </w:r>
          </w:p>
        </w:tc>
      </w:tr>
      <w:tr>
        <w:tc>
          <w:tcPr/>
          <w:p>
            <w:pPr>
              <w:pStyle w:val="Compact"/>
            </w:pPr>
            <w:r>
              <w:t xml:space="preserve">Virtual Currencies: A Case Study of Bitcoin</w:t>
            </w:r>
          </w:p>
        </w:tc>
        <w:tc>
          <w:tcPr/>
          <w:p>
            <w:pPr>
              <w:pStyle w:val="Compact"/>
            </w:pPr>
            <w:r>
              <w:t xml:space="preserve">Asean Online Education AOE</w:t>
            </w:r>
          </w:p>
        </w:tc>
        <w:tc>
          <w:tcPr/>
          <w:p>
            <w:pPr>
              <w:pStyle w:val="Compact"/>
            </w:pPr>
            <w:r>
              <w:t xml:space="preserve">Oct 2020</w:t>
            </w:r>
          </w:p>
        </w:tc>
        <w:tc>
          <w:tcPr/>
          <w:p>
            <w:pPr>
              <w:pStyle w:val="Compact"/>
            </w:pPr>
            <w:r>
              <w:t xml:space="preserve">1684-18411115</w:t>
            </w:r>
          </w:p>
        </w:tc>
      </w:tr>
      <w:tr>
        <w:tc>
          <w:tcPr/>
          <w:p>
            <w:pPr>
              <w:pStyle w:val="Compact"/>
            </w:pPr>
            <w:r>
              <w:t xml:space="preserve">A Systemic Approach To Financial Inclusion</w:t>
            </w:r>
          </w:p>
        </w:tc>
        <w:tc>
          <w:tcPr/>
          <w:p>
            <w:pPr>
              <w:pStyle w:val="Compact"/>
            </w:pPr>
            <w:r>
              <w:t xml:space="preserve">World Bank Group</w:t>
            </w:r>
          </w:p>
        </w:tc>
        <w:tc>
          <w:tcPr/>
          <w:p>
            <w:pPr>
              <w:pStyle w:val="Compact"/>
            </w:pPr>
            <w:r>
              <w:t xml:space="preserve">Oct 2020</w:t>
            </w:r>
          </w:p>
        </w:tc>
        <w:tc>
          <w:tcPr/>
          <w:p>
            <w:pPr>
              <w:pStyle w:val="Compact"/>
            </w:pPr>
            <w:r>
              <w:t xml:space="preserve">0000070942-0000157752</w:t>
            </w:r>
          </w:p>
        </w:tc>
      </w:tr>
      <w:tr>
        <w:tc>
          <w:tcPr/>
          <w:p>
            <w:pPr>
              <w:pStyle w:val="Compact"/>
            </w:pPr>
            <w:r>
              <w:t xml:space="preserve">Marketing Masterclass</w:t>
            </w:r>
          </w:p>
        </w:tc>
        <w:tc>
          <w:tcPr/>
          <w:p>
            <w:pPr>
              <w:pStyle w:val="Compact"/>
            </w:pPr>
            <w:r>
              <w:t xml:space="preserve">Freshworks</w:t>
            </w:r>
          </w:p>
        </w:tc>
        <w:tc>
          <w:tcPr/>
          <w:p>
            <w:pPr>
              <w:pStyle w:val="Compact"/>
            </w:pPr>
            <w:r>
              <w:t xml:space="preserve">Oct 2020</w:t>
            </w:r>
          </w:p>
        </w:tc>
        <w:tc>
          <w:tcPr/>
          <w:p>
            <w:pPr>
              <w:pStyle w:val="Compact"/>
            </w:pPr>
            <w:r>
              <w:t xml:space="preserve">CLVDBPDVSV-LJZGGZKJ-XHHPYHCYSC</w:t>
            </w:r>
          </w:p>
        </w:tc>
      </w:tr>
    </w:tbl>
    <w:p>
      <w:pPr>
        <w:pStyle w:val="BodyText"/>
      </w:pPr>
      <w:r>
        <w:rPr>
          <w:i/>
          <w:iCs/>
        </w:rPr>
        <w:t xml:space="preserve">The two certifications with no credential number shown (Leading Equitable Organisations; Funding Concepts) were issued without a publicly verifiable identifier and are recorded as held without a number.</w:t>
      </w:r>
    </w:p>
    <w:bookmarkEnd w:id="21"/>
    <w:bookmarkStart w:id="22" w:name="X9ee34d40c49ac4d7914289c5ed2674108ce7319"/>
    <w:p>
      <w:pPr>
        <w:pStyle w:val="Heading2"/>
      </w:pPr>
      <w:r>
        <w:t xml:space="preserve">ANNEX C — Additional recognition / supporting evidence</w:t>
      </w:r>
    </w:p>
    <w:p>
      <w:pPr>
        <w:pStyle w:val="FirstParagraph"/>
      </w:pPr>
      <w:r>
        <w:t xml:space="preserve">Where additional awards, grants or programme recognitions are included in the final Government submission, the preferred evidence is the original award certificate, the official organiser announcement, the grant letter, or the official programme record.</w:t>
      </w:r>
    </w:p>
    <w:p>
      <w:pPr>
        <w:pStyle w:val="BodyText"/>
      </w:pPr>
      <w:r>
        <w:rPr>
          <w:b/>
          <w:bCs/>
        </w:rPr>
        <w:t xml:space="preserve">END OF DOCUMENT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2026-10-12T16:35:38Z</dcterms:created>
  <dcterms:modified xsi:type="dcterms:W3CDTF">2026-10-12T16:35:38Z</dcterms:modified>
</cp:coreProperties>
</file>

<file path=docProps/custom.xml><?xml version="1.0" encoding="utf-8"?>
<Properties xmlns="http://schemas.openxmlformats.org/officeDocument/2006/custom-properties" xmlns:vt="http://schemas.openxmlformats.org/officeDocument/2006/docPropsVTypes"/>
</file>