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87f47e32495654ac30320d96c61af7be8b3c34f"/>
    <w:p>
      <w:pPr>
        <w:pStyle w:val="Heading2"/>
      </w:pPr>
      <w:r>
        <w:t xml:space="preserve">Retained by the Ministry of Information Communication Technology, Postal and Courier Services</w:t>
      </w:r>
    </w:p>
    <w:p>
      <w:pPr>
        <w:pStyle w:val="FirstParagraph"/>
      </w:pPr>
      <w:r>
        <w:rPr>
          <w:b/>
          <w:bCs/>
        </w:rPr>
        <w:t xml:space="preserve">Submitted to:</w:t>
      </w:r>
      <w:r>
        <w:t xml:space="preserve"> </w:t>
      </w:r>
      <w:r>
        <w:t xml:space="preserve">Hon. Tatenda Mavetera, MP — Minister of Information Communication Technology, Postal and Courier Services</w:t>
      </w:r>
    </w:p>
    <w:p>
      <w:pPr>
        <w:pStyle w:val="BodyText"/>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6005bef71425db1c89b1b6ad897616225c5ce83"/>
    <w:p>
      <w:pPr>
        <w:pStyle w:val="Heading2"/>
      </w:pPr>
      <w:r>
        <w:t xml:space="preserve">Part A — Covering letter to the Honourable Minister</w:t>
      </w:r>
    </w:p>
    <w:p>
      <w:pPr>
        <w:pStyle w:val="FirstParagraph"/>
      </w:pPr>
      <w:r>
        <w:t xml:space="preserve">Dear Honourable Minister,</w:t>
      </w:r>
    </w:p>
    <w:p>
      <w:pPr>
        <w:numPr>
          <w:ilvl w:val="0"/>
          <w:numId w:val="1001"/>
        </w:numPr>
      </w:pPr>
      <w:r>
        <w:t xml:space="preserve">Oreida Pvt Ltd respectfully submits this proposal for a pilot policy-simulation capability to be retained by the Ministry of Information Communication Technology, Postal and Courier Services, and put to work as a pilot for the</w:t>
      </w:r>
      <w:r>
        <w:t xml:space="preserve"> </w:t>
      </w:r>
      <w:r>
        <w:rPr>
          <w:b/>
          <w:bCs/>
        </w:rPr>
        <w:t xml:space="preserve">Digitalize Zimbabwe</w:t>
      </w:r>
      <w:r>
        <w:t xml:space="preserve"> </w:t>
      </w:r>
      <w:r>
        <w:t xml:space="preserve">initiative.</w:t>
      </w:r>
    </w:p>
    <w:p>
      <w:pPr>
        <w:numPr>
          <w:ilvl w:val="0"/>
          <w:numId w:val="1001"/>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and makes no network request at all.</w:t>
      </w:r>
    </w:p>
    <w:p>
      <w:pPr>
        <w:numPr>
          <w:ilvl w:val="0"/>
          <w:numId w:val="1001"/>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host the pilot inside the Ministry. The detail is set out in Part B, and the decision requested is repeated in a single page at Part C.</w:t>
      </w:r>
    </w:p>
    <w:p>
      <w:pPr>
        <w:numPr>
          <w:ilvl w:val="0"/>
          <w:numId w:val="1001"/>
        </w:numPr>
      </w:pPr>
      <w:r>
        <w:t xml:space="preserve">We hold</w:t>
      </w:r>
      <w:r>
        <w:t xml:space="preserve"> </w:t>
      </w:r>
      <w:r>
        <w:rPr>
          <w:b/>
          <w:bCs/>
        </w:rPr>
        <w:t xml:space="preserve">no</w:t>
      </w:r>
      <w:r>
        <w:t xml:space="preserve"> </w:t>
      </w:r>
      <w:r>
        <w:t xml:space="preserve">endorsement from the Ministry or from any national programme for this platform. Obtaining that endorsement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recommendation"/>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hosted inside the Ministry, and funded for the three named build steps below.</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onto Government infrastructure.</w:t>
      </w:r>
    </w:p>
    <w:bookmarkEnd w:id="11"/>
    <w:bookmarkStart w:id="12" w:name="background"/>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the-problem-it-addresses"/>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what-has-already-been-delivered"/>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72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72 stand on a published national share</w:t>
      </w:r>
      <w:r>
        <w:t xml:space="preserve">, each naming the figure it stands for and the publication it came from; the remaining</w:t>
      </w:r>
      <w:r>
        <w:t xml:space="preserve"> </w:t>
      </w:r>
      <w:r>
        <w:rPr>
          <w:b/>
          <w:bCs/>
        </w:rPr>
        <w:t xml:space="preserve">52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24 groups</w:t>
      </w:r>
      <w:r>
        <w:t xml:space="preserve"> </w:t>
      </w:r>
      <w:r>
        <w:t xml:space="preserve">its own mandate covers, drawn from these 72.</w:t>
      </w:r>
    </w:p>
    <w:p>
      <w:pPr>
        <w:pStyle w:val="BodyText"/>
      </w:pPr>
      <w:r>
        <w:t xml:space="preserve">4.4</w:t>
      </w:r>
      <w:r>
        <w:t xml:space="preserve"> </w:t>
      </w:r>
      <w:r>
        <w:rPr>
          <w:b/>
          <w:bCs/>
        </w:rPr>
        <w:t xml:space="preserve">160 reference indicators</w:t>
      </w:r>
      <w:r>
        <w:t xml:space="preserve"> </w:t>
      </w:r>
      <w:r>
        <w:t xml:space="preserve">across those 16 institutions, each with a plain note and a stated basis:</w:t>
      </w:r>
      <w:r>
        <w:t xml:space="preserve"> </w:t>
      </w:r>
      <w:r>
        <w:rPr>
          <w:b/>
          <w:bCs/>
        </w:rPr>
        <w:t xml:space="preserve">24 are published figures</w:t>
      </w:r>
      <w:r>
        <w:t xml:space="preserve">, each naming its publisher, its publication and its period, and</w:t>
      </w:r>
      <w:r>
        <w:t xml:space="preserve"> </w:t>
      </w:r>
      <w:r>
        <w:rPr>
          <w:b/>
          <w:bCs/>
        </w:rPr>
        <w:t xml:space="preserve">136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The assessment runs entirely in the reader’s own browser.</w:t>
      </w:r>
      <w:r>
        <w:t xml:space="preserve"> </w:t>
      </w:r>
      <w:r>
        <w:t xml:space="preserve">The demonstration build makes</w:t>
      </w:r>
      <w:r>
        <w:t xml:space="preserve"> </w:t>
      </w:r>
      <w:r>
        <w:rPr>
          <w:b/>
          <w:bCs/>
        </w:rPr>
        <w:t xml:space="preserve">no network request at all</w:t>
      </w:r>
      <w:r>
        <w:t xml:space="preserve"> </w:t>
      </w:r>
      <w:r>
        <w:t xml:space="preserve">— no external AI service is called, no document text leaves the machine, and no third-party script is loaded. That is what makes it sovereign in operation: nothing is sent anywhere to be processed.</w:t>
      </w:r>
    </w:p>
    <w:p>
      <w:pPr>
        <w:pStyle w:val="BodyText"/>
      </w:pPr>
      <w:r>
        <w:t xml:space="preserve">4.10</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the-pilot-case-digitalize-zimbabwe"/>
    <w:p>
      <w:pPr>
        <w:pStyle w:val="Heading3"/>
      </w:pPr>
      <w:r>
        <w:t xml:space="preserve">5. The pilot case — Digitalize Zimbabwe</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hosts</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bookmarkEnd w:id="15"/>
    <w:bookmarkStart w:id="16" w:name="governance-and-legal-position"/>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procurement"/>
    <w:p>
      <w:pPr>
        <w:pStyle w:val="Heading3"/>
      </w:pPr>
      <w:r>
        <w:t xml:space="preserve">7. Procurement</w:t>
      </w:r>
    </w:p>
    <w:p>
      <w:pPr>
        <w:pStyle w:val="FirstParagraph"/>
      </w:pPr>
      <w:r>
        <w:t xml:space="preserve">7.1 We recommend</w:t>
      </w:r>
      <w:r>
        <w:t xml:space="preserve"> </w:t>
      </w:r>
      <w:r>
        <w:rPr>
          <w:b/>
          <w:bCs/>
        </w:rPr>
        <w:t xml:space="preserve">phased in-house development with contracted expertise</w:t>
      </w:r>
      <w:r>
        <w:t xml:space="preserve">: the Ministry retains ownership and control of the capability while Oreida Pvt Ltd supplies the build steps and support, because the product already exists and only three named steps separate the demonstration from a Ministry-hosted pilot.</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financial-implications"/>
    <w:p>
      <w:pPr>
        <w:pStyle w:val="Heading3"/>
      </w:pPr>
      <w:r>
        <w:t xml:space="preserve">8. Financial implications</w:t>
      </w:r>
    </w:p>
    <w:p>
      <w:pPr>
        <w:pStyle w:val="FirstParagraph"/>
      </w:pPr>
      <w:r>
        <w:t xml:space="preserve">8.1 The table below separates one-off costs from recurring costs. Every figure is an</w:t>
      </w:r>
      <w:r>
        <w:t xml:space="preserve"> </w:t>
      </w:r>
      <w:r>
        <w:rPr>
          <w:rStyle w:val="VerbatimChar"/>
        </w:rPr>
        <w:t xml:space="preserve">[ASSUMPTION — to be confirmed]</w:t>
      </w:r>
      <w:r>
        <w:t xml:space="preserve"> </w:t>
      </w:r>
      <w:r>
        <w:t xml:space="preserve">and none is presented as approved. A full Treasury business case is not part of this proposal and would be produced after an approval in principle, if required.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Estimate (USD)</w:t>
            </w:r>
          </w:p>
        </w:tc>
        <w:tc>
          <w:tcPr/>
          <w:p>
            <w:pPr>
              <w:pStyle w:val="Compact"/>
            </w:pPr>
            <w:r>
              <w:t xml:space="preserve">Estimate (ZWG)</w:t>
            </w:r>
          </w:p>
        </w:tc>
      </w:tr>
      <w:tr>
        <w:tc>
          <w:tcPr/>
          <w:p>
            <w:pPr>
              <w:pStyle w:val="Compact"/>
            </w:pPr>
            <w:r>
              <w:t xml:space="preserve">8.2</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8.3</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8.4</w:t>
            </w:r>
          </w:p>
        </w:tc>
        <w:tc>
          <w:tcPr/>
          <w:p>
            <w:pPr>
              <w:pStyle w:val="Compact"/>
            </w:pPr>
            <w:r>
              <w:t xml:space="preserve">Deployment onto Government infrastructure (build step 3)</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8.5</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8.6</w:t>
            </w:r>
          </w:p>
        </w:tc>
        <w:tc>
          <w:tcPr/>
          <w:p>
            <w:pPr>
              <w:pStyle w:val="Compact"/>
            </w:pPr>
            <w:r>
              <w:t xml:space="preserve">Hosting inside the Ministry</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8.7</w:t>
            </w:r>
          </w:p>
        </w:tc>
        <w:tc>
          <w:tcPr/>
          <w:p>
            <w:pPr>
              <w:pStyle w:val="Compact"/>
            </w:pPr>
            <w:r>
              <w:t xml:space="preserve">Support and maintenance</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r>
        <w:tc>
          <w:tcPr/>
          <w:p>
            <w:pPr>
              <w:pStyle w:val="Compact"/>
            </w:pPr>
            <w:r>
              <w:t xml:space="preserve">8.8</w:t>
            </w:r>
          </w:p>
        </w:tc>
        <w:tc>
          <w:tcPr/>
          <w:p>
            <w:pPr>
              <w:pStyle w:val="Compact"/>
            </w:pPr>
            <w:r>
              <w:t xml:space="preserve">Training of officers</w:t>
            </w:r>
          </w:p>
        </w:tc>
        <w:tc>
          <w:tcPr/>
          <w:p>
            <w:pPr>
              <w:pStyle w:val="Compact"/>
            </w:pPr>
            <w:r>
              <w:t xml:space="preserve">Recurring</w:t>
            </w:r>
          </w:p>
        </w:tc>
        <w:tc>
          <w:tcPr/>
          <w:p>
            <w:pPr>
              <w:pStyle w:val="Compact"/>
            </w:pPr>
            <w:r>
              <w:t xml:space="preserve">[ASSUMPTION — to be confirmed]</w:t>
            </w:r>
          </w:p>
        </w:tc>
        <w:tc>
          <w:tcPr/>
          <w:p>
            <w:pPr>
              <w:pStyle w:val="Compact"/>
            </w:pPr>
            <w:r>
              <w:t xml:space="preserve">[ASSUMPTION — to be confirmed]</w:t>
            </w:r>
          </w:p>
        </w:tc>
      </w:tr>
    </w:tbl>
    <w:bookmarkEnd w:id="18"/>
    <w:bookmarkStart w:id="19" w:name="implementation-approach-and-timeframe"/>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onto Government infrastructure.</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risk-and-mitigation"/>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w:t>
      </w:r>
      <w:r>
        <w:t xml:space="preserve">or the Ministry. This proposal states that plainly, and obtaining the endorsement is part of the ask.</w:t>
      </w:r>
    </w:p>
    <w:p>
      <w:pPr>
        <w:pStyle w:val="BodyText"/>
      </w:pPr>
      <w:r>
        <w:t xml:space="preserve">10.3</w:t>
      </w:r>
      <w:r>
        <w:t xml:space="preserve"> </w:t>
      </w:r>
      <w:r>
        <w:rPr>
          <w:b/>
          <w:bCs/>
        </w:rPr>
        <w:t xml:space="preserve">Data and sovereignty risk.</w:t>
      </w:r>
      <w:r>
        <w:t xml:space="preserve"> </w:t>
      </w:r>
      <w:r>
        <w:t xml:space="preserve">The demonstration makes no network request and no document text leaves the machine, which removes the risk of policy text being processed outside national custody.</w:t>
      </w:r>
    </w:p>
    <w:bookmarkEnd w:id="20"/>
    <w:bookmarkStart w:id="21" w:name="consultation"/>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what-we-could-not-confirm"/>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The ask therefore includes the programme’s</w:t>
      </w:r>
      <w:r>
        <w:t xml:space="preserve"> </w:t>
      </w:r>
      <w:r>
        <w:rPr>
          <w:b/>
          <w:bCs/>
        </w:rPr>
        <w:t xml:space="preserve">endorsement</w:t>
      </w:r>
      <w:r>
        <w:t xml:space="preserve"> </w:t>
      </w:r>
      <w:r>
        <w:t xml:space="preserve">alongside the funding and the hosting decision.</w:t>
      </w:r>
    </w:p>
    <w:p>
      <w:pPr>
        <w:pStyle w:val="BodyText"/>
      </w:pPr>
      <w:r>
        <w:rPr>
          <w:b/>
          <w:bCs/>
        </w:rPr>
        <w:t xml:space="preserve">The decision requested of the Honourable Minister, Minister of Information Communication Technology, Postal and Courier Services:</w:t>
      </w:r>
    </w:p>
    <w:p>
      <w:pPr>
        <w:pStyle w:val="Compact"/>
        <w:numPr>
          <w:ilvl w:val="0"/>
          <w:numId w:val="1002"/>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2"/>
        </w:numPr>
      </w:pPr>
      <w:r>
        <w:rPr>
          <w:b/>
          <w:bCs/>
        </w:rPr>
        <w:t xml:space="preserve">Fund</w:t>
      </w:r>
      <w:r>
        <w:t xml:space="preserve"> </w:t>
      </w:r>
      <w:r>
        <w:t xml:space="preserve">the three named build steps (server-side document text extraction; server-side identity verification; deployment onto Government infrastructure).</w:t>
      </w:r>
    </w:p>
    <w:p>
      <w:pPr>
        <w:pStyle w:val="Compact"/>
        <w:numPr>
          <w:ilvl w:val="0"/>
          <w:numId w:val="1002"/>
        </w:numPr>
      </w:pPr>
      <w:r>
        <w:rPr>
          <w:b/>
          <w:bCs/>
        </w:rPr>
        <w:t xml:space="preserve">Host</w:t>
      </w:r>
      <w:r>
        <w:t xml:space="preserve"> </w:t>
      </w:r>
      <w:r>
        <w:t xml:space="preserve">the pilot inside the Ministry.</w:t>
      </w:r>
    </w:p>
    <w:p>
      <w:pPr>
        <w:pStyle w:val="Compact"/>
        <w:numPr>
          <w:ilvl w:val="0"/>
          <w:numId w:val="1002"/>
        </w:numPr>
      </w:pPr>
      <w:r>
        <w:rPr>
          <w:b/>
          <w:bCs/>
        </w:rPr>
        <w:t xml:space="preserve">Name</w:t>
      </w:r>
      <w:r>
        <w:t xml:space="preserve"> </w:t>
      </w:r>
      <w:r>
        <w:t xml:space="preserve">the first pilot institution and the first policy question to be tested.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and programme endorsement</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three build steps</w:t>
            </w:r>
          </w:p>
        </w:tc>
        <w:tc>
          <w:tcPr/>
          <w:p>
            <w:pPr>
              <w:pStyle w:val="Compact"/>
            </w:pPr>
            <w:r>
              <w:t xml:space="preserve">After approval</w:t>
            </w:r>
          </w:p>
        </w:tc>
        <w:tc>
          <w:tcPr/>
          <w:p>
            <w:pPr>
              <w:pStyle w:val="Compact"/>
            </w:pPr>
            <w:r>
              <w:t xml:space="preserve">A Ministry-hosted, Government-ready pilot</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the Ministry hosts it.</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and the owning office of the Digitalize Zimbabwe programme.</w:t>
      </w:r>
      <w:r>
        <w:t xml:space="preserve"> </w:t>
      </w:r>
      <w:r>
        <w:rPr>
          <w:b/>
          <w:bCs/>
        </w:rPr>
        <w:t xml:space="preserve">Who to ask:</w:t>
      </w:r>
      <w:r>
        <w:t xml:space="preserve"> </w:t>
      </w:r>
      <w:r>
        <w:t xml:space="preserve">the Cabinet Office and the Ministry’s legal desk; the Ministry of ICT, Postal and Courier Services;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2026-10-02T11:03:04Z</dcterms:created>
  <dcterms:modified xsi:type="dcterms:W3CDTF">2026-10-02T11:03:04Z</dcterms:modified>
</cp:coreProperties>
</file>

<file path=docProps/custom.xml><?xml version="1.0" encoding="utf-8"?>
<Properties xmlns="http://schemas.openxmlformats.org/officeDocument/2006/custom-properties" xmlns:vt="http://schemas.openxmlformats.org/officeDocument/2006/docPropsVTypes"/>
</file>