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ppraisal-annex--the-five-cases"/>
    <w:p>
      <w:pPr>
        <w:pStyle w:val="Heading1"/>
      </w:pPr>
      <w:r>
        <w:t xml:space="preserve">APPRAISAL ANNEX — THE FIVE CASES</w:t>
      </w:r>
    </w:p>
    <w:bookmarkStart w:id="9" w:name="Xc14d557af239647fb4abf9ad7ab5f9fe4454d54"/>
    <w:p>
      <w:pPr>
        <w:pStyle w:val="Heading2"/>
      </w:pPr>
      <w:r>
        <w:t xml:space="preserve">Nzwisiso AI Policy Platform — the strategic, economic, commercial, financial and management cases, for the proposal from Oreida Pvt Ltd</w:t>
      </w:r>
    </w:p>
    <w:p>
      <w:pPr>
        <w:pStyle w:val="FirstParagraph"/>
      </w:pPr>
      <w:r>
        <w:rPr>
          <w:b/>
          <w:bCs/>
        </w:rPr>
        <w:t xml:space="preserve">GOVERNMENT OF ZIMBABWE</w:t>
      </w:r>
    </w:p>
    <w:p>
      <w:pPr>
        <w:pStyle w:val="BodyText"/>
      </w:pPr>
      <w:r>
        <w:rPr>
          <w:b/>
          <w:bCs/>
        </w:rPr>
        <w:t xml:space="preserve">Nzwisiso AI Policy Platform — Public-Private Partnership Proposal</w:t>
      </w:r>
    </w:p>
    <w:p>
      <w:pPr>
        <w:pStyle w:val="BodyText"/>
      </w:pPr>
      <w:r>
        <w:rPr>
          <w:b/>
          <w:bCs/>
        </w:rPr>
        <w:t xml:space="preserve">Addressed to:</w:t>
      </w:r>
      <w:r>
        <w:t xml:space="preserve"> </w:t>
      </w:r>
      <w:r>
        <w:t xml:space="preserve">the Honourable Minister of Information Communication Technology, Postal and Courier Services —</w:t>
      </w:r>
      <w:r>
        <w:t xml:space="preserve"> </w:t>
      </w:r>
      <w:r>
        <w:rPr>
          <w:b/>
          <w:bCs/>
        </w:rPr>
        <w:t xml:space="preserve">Hon. Tatenda Mavetera, MP</w:t>
      </w:r>
      <w:r>
        <w:t xml:space="preserve"> </w:t>
      </w:r>
      <w:r>
        <w:t xml:space="preserve">·</w:t>
      </w:r>
      <w:r>
        <w:t xml:space="preserve"> </w:t>
      </w:r>
      <w:r>
        <w:rPr>
          <w:b/>
          <w:bCs/>
        </w:rPr>
        <w:t xml:space="preserve">Co-addressed to:</w:t>
      </w:r>
      <w:r>
        <w:t xml:space="preserve"> </w:t>
      </w:r>
      <w:r>
        <w:t xml:space="preserve">Dr. Gibson Chigumira, Executive Director, ZEPARI</w:t>
      </w:r>
    </w:p>
    <w:p>
      <w:pPr>
        <w:pStyle w:val="BodyText"/>
      </w:pPr>
      <w:r>
        <w:rPr>
          <w:b/>
          <w:bCs/>
        </w:rPr>
        <w:t xml:space="preserve">Submitted by:</w:t>
      </w:r>
      <w:r>
        <w:t xml:space="preserve"> </w:t>
      </w:r>
      <w:r>
        <w:rPr>
          <w:b/>
          <w:bCs/>
        </w:rPr>
        <w:t xml:space="preserve">Oreida Pvt Ltd</w:t>
      </w:r>
      <w:r>
        <w:t xml:space="preserve"> </w:t>
      </w:r>
      <w:r>
        <w:t xml:space="preserve">—</w:t>
      </w:r>
      <w:r>
        <w:t xml:space="preserve"> </w:t>
      </w:r>
      <w:r>
        <w:rPr>
          <w:b/>
          <w:bCs/>
        </w:rPr>
        <w:t xml:space="preserve">Edmore Zviitwah (Business Lead)</w:t>
      </w:r>
      <w:r>
        <w:t xml:space="preserve"> </w:t>
      </w:r>
      <w:r>
        <w:t xml:space="preserve">·</w:t>
      </w:r>
      <w:r>
        <w:t xml:space="preserve"> </w:t>
      </w:r>
      <w:r>
        <w:rPr>
          <w:b/>
          <w:bCs/>
        </w:rPr>
        <w:t xml:space="preserve">Tadii Tendayi (Technical Lead)</w:t>
      </w:r>
      <w:r>
        <w:t xml:space="preserve"> </w:t>
      </w:r>
      <w:r>
        <w:t xml:space="preserve">·</w:t>
      </w:r>
      <w:r>
        <w:t xml:space="preserve"> </w:t>
      </w:r>
      <w:r>
        <w:rPr>
          <w:b/>
          <w:bCs/>
        </w:rPr>
        <w:t xml:space="preserve">Date:</w:t>
      </w:r>
      <w:r>
        <w:t xml:space="preserve"> </w:t>
      </w:r>
      <w:r>
        <w:t xml:space="preserve">October 2026</w:t>
      </w:r>
    </w:p>
    <w:p>
      <w:pPr>
        <w:pStyle w:val="BodyText"/>
      </w:pPr>
      <w:r>
        <w:rPr>
          <w:b/>
          <w:bCs/>
        </w:rPr>
        <w:t xml:space="preserve">Disclaimers:</w:t>
      </w:r>
      <w:r>
        <w:t xml:space="preserve"> </w:t>
      </w:r>
      <w:r>
        <w:t xml:space="preserve">This is a supporting annex to a proposal. It is not an agreement and not a Government publication. It does not represent a Government approval, endorsement or commitment.</w:t>
      </w:r>
    </w:p>
    <w:p>
      <w:r>
        <w:pict>
          <v:rect style="width:0;height:1.5pt" o:hralign="center" o:hrstd="t" o:hr="t"/>
        </w:pict>
      </w:r>
    </w:p>
    <w:bookmarkEnd w:id="9"/>
    <w:bookmarkStart w:id="10" w:name="Xe656c7b6450ec476f453091ff6f524ec7bd654f"/>
    <w:p>
      <w:pPr>
        <w:pStyle w:val="Heading2"/>
      </w:pPr>
      <w:r>
        <w:t xml:space="preserve">1. Purpose</w:t>
      </w:r>
    </w:p>
    <w:p>
      <w:pPr>
        <w:pStyle w:val="FirstParagraph"/>
      </w:pPr>
      <w:r>
        <w:t xml:space="preserve">A finance ministry appraises a proposal against five cases. This annex sets the Nzwisiso proposal out against each of them, so the case can be read the way the Government's own advisers read one.</w:t>
      </w:r>
    </w:p>
    <w:bookmarkEnd w:id="10"/>
    <w:bookmarkStart w:id="11" w:name="Xb13305289f80730717d7915e18e8ba5c16473dd"/>
    <w:p>
      <w:pPr>
        <w:pStyle w:val="Heading2"/>
      </w:pPr>
      <w:r>
        <w:t xml:space="preserve">2. The strategic case — why this, and why now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Point</w:t>
            </w:r>
          </w:p>
        </w:tc>
        <w:tc>
          <w:tcPr/>
          <w:p>
            <w:pPr>
              <w:pStyle w:val="Compact"/>
            </w:pPr>
            <w:r>
              <w:t xml:space="preserve">Position</w:t>
            </w:r>
          </w:p>
        </w:tc>
      </w:tr>
      <w:tr>
        <w:tc>
          <w:tcPr/>
          <w:p>
            <w:pPr>
              <w:pStyle w:val="Compact"/>
            </w:pPr>
            <w:r>
              <w:t xml:space="preserve">The gap</w:t>
            </w:r>
          </w:p>
        </w:tc>
        <w:tc>
          <w:tcPr/>
          <w:p>
            <w:pPr>
              <w:pStyle w:val="Compact"/>
            </w:pPr>
            <w:r>
              <w:t xml:space="preserve">ZEPARI's own documented finding is that policies fail because</w:t>
            </w:r>
            <w:r>
              <w:t xml:space="preserve"> </w:t>
            </w:r>
            <w:r>
              <w:rPr>
                <w:i/>
                <w:iCs/>
              </w:rPr>
              <w:t xml:space="preserve">"there is no standardised procedure to policy making"</w:t>
            </w:r>
          </w:p>
        </w:tc>
      </w:tr>
      <w:tr>
        <w:tc>
          <w:tcPr/>
          <w:p>
            <w:pPr>
              <w:pStyle w:val="Compact"/>
            </w:pPr>
            <w:r>
              <w:t xml:space="preserve">The instrument that closes it</w:t>
            </w:r>
          </w:p>
        </w:tc>
        <w:tc>
          <w:tcPr/>
          <w:p>
            <w:pPr>
              <w:pStyle w:val="Compact"/>
            </w:pPr>
            <w:r>
              <w:t xml:space="preserve">A standardised, reproducible way to test a draft policy against the groups it reaches, before it is implemented</w:t>
            </w:r>
          </w:p>
        </w:tc>
      </w:tr>
      <w:tr>
        <w:tc>
          <w:tcPr/>
          <w:p>
            <w:pPr>
              <w:pStyle w:val="Compact"/>
            </w:pPr>
            <w:r>
              <w:t xml:space="preserve">National alignment</w:t>
            </w:r>
          </w:p>
        </w:tc>
        <w:tc>
          <w:tcPr/>
          <w:p>
            <w:pPr>
              <w:pStyle w:val="Compact"/>
            </w:pPr>
            <w:r>
              <w:t xml:space="preserve">It is a delivery-against-existing-commitments instrument, offered as a pilot for the</w:t>
            </w:r>
            <w:r>
              <w:t xml:space="preserve"> </w:t>
            </w:r>
            <w:r>
              <w:rPr>
                <w:b/>
                <w:bCs/>
              </w:rPr>
              <w:t xml:space="preserve">Digitalize Zimbabwe</w:t>
            </w:r>
            <w:r>
              <w:t xml:space="preserve"> </w:t>
            </w:r>
            <w:r>
              <w:t xml:space="preserve">initiative, not a new national programme</w:t>
            </w:r>
          </w:p>
        </w:tc>
      </w:tr>
      <w:tr>
        <w:tc>
          <w:tcPr/>
          <w:p>
            <w:pPr>
              <w:pStyle w:val="Compact"/>
            </w:pPr>
            <w:r>
              <w:t xml:space="preserve">The ask</w:t>
            </w:r>
          </w:p>
        </w:tc>
        <w:tc>
          <w:tcPr/>
          <w:p>
            <w:pPr>
              <w:pStyle w:val="Compact"/>
            </w:pPr>
            <w:r>
              <w:t xml:space="preserve">A pilot of</w:t>
            </w:r>
            <w:r>
              <w:t xml:space="preserve"> </w:t>
            </w:r>
            <w:r>
              <w:rPr>
                <w:b/>
                <w:bCs/>
              </w:rPr>
              <w:t xml:space="preserve">one institution, one policy question and one run</w:t>
            </w:r>
            <w:r>
              <w:t xml:space="preserve">, before any national rollout is committed to</w:t>
            </w:r>
          </w:p>
        </w:tc>
      </w:tr>
      <w:tr>
        <w:tc>
          <w:tcPr/>
          <w:p>
            <w:pPr>
              <w:pStyle w:val="Compact"/>
            </w:pPr>
            <w:r>
              <w:t xml:space="preserve">The honesty note</w:t>
            </w:r>
          </w:p>
        </w:tc>
        <w:tc>
          <w:tcPr/>
          <w:p>
            <w:pPr>
              <w:pStyle w:val="Compact"/>
            </w:pPr>
            <w:r>
              <w:t xml:space="preserve">Oreida Pvt Ltd holds</w:t>
            </w:r>
            <w:r>
              <w:t xml:space="preserve"> </w:t>
            </w:r>
            <w:r>
              <w:rPr>
                <w:b/>
                <w:bCs/>
              </w:rPr>
              <w:t xml:space="preserve">no</w:t>
            </w:r>
            <w:r>
              <w:t xml:space="preserve"> </w:t>
            </w:r>
            <w:r>
              <w:t xml:space="preserve">endorsement from the Ministry, from ZEPARI or from any national programme; obtaining it is part of the ask</w:t>
            </w:r>
          </w:p>
        </w:tc>
      </w:tr>
    </w:tbl>
    <w:bookmarkEnd w:id="11"/>
    <w:bookmarkStart w:id="12" w:name="Xf9f76dafae92de4790653aa875af53c964ac9fc"/>
    <w:p>
      <w:pPr>
        <w:pStyle w:val="Heading2"/>
      </w:pPr>
      <w:r>
        <w:t xml:space="preserve">3. The economic case — the options appraisal ("why this route")</w:t>
      </w:r>
    </w:p>
    <w:p>
      <w:pPr>
        <w:pStyle w:val="FirstParagraph"/>
      </w:pPr>
      <w:r>
        <w:rPr>
          <w:b/>
          <w:bCs/>
        </w:rPr>
        <w:t xml:space="preserve">Three options were considered, and this annex states plainly why the third is recommended.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What it is</w:t>
            </w:r>
          </w:p>
        </w:tc>
        <w:tc>
          <w:tcPr/>
          <w:p>
            <w:pPr>
              <w:pStyle w:val="Compact"/>
            </w:pPr>
            <w:r>
              <w:t xml:space="preserve">Why it is not preferred</w:t>
            </w:r>
          </w:p>
        </w:tc>
      </w:tr>
      <w:tr>
        <w:tc>
          <w:tcPr/>
          <w:p>
            <w:pPr>
              <w:pStyle w:val="Compact"/>
            </w:pPr>
            <w:r>
              <w:rPr>
                <w:b/>
                <w:bCs/>
              </w:rPr>
              <w:t xml:space="preserve">1 · Do nothing</w:t>
            </w:r>
          </w:p>
        </w:tc>
        <w:tc>
          <w:tcPr/>
          <w:p>
            <w:pPr>
              <w:pStyle w:val="Compact"/>
            </w:pPr>
            <w:r>
              <w:t xml:space="preserve">Continue with no standardised procedure</w:t>
            </w:r>
          </w:p>
        </w:tc>
        <w:tc>
          <w:tcPr/>
          <w:p>
            <w:pPr>
              <w:pStyle w:val="Compact"/>
            </w:pPr>
            <w:r>
              <w:t xml:space="preserve">The cost is already being paid — policies that reach fewer people than intended, discovered after the fact. Doing nothing is not costless.</w:t>
            </w:r>
          </w:p>
        </w:tc>
      </w:tr>
      <w:tr>
        <w:tc>
          <w:tcPr/>
          <w:p>
            <w:pPr>
              <w:pStyle w:val="Compact"/>
            </w:pPr>
            <w:r>
              <w:rPr>
                <w:b/>
                <w:bCs/>
              </w:rPr>
              <w:t xml:space="preserve">2 · Build in-house</w:t>
            </w:r>
          </w:p>
        </w:tc>
        <w:tc>
          <w:tcPr/>
          <w:p>
            <w:pPr>
              <w:pStyle w:val="Compact"/>
            </w:pPr>
            <w:r>
              <w:t xml:space="preserve">Government builds and owns a bespoke platform</w:t>
            </w:r>
          </w:p>
        </w:tc>
        <w:tc>
          <w:tcPr/>
          <w:p>
            <w:pPr>
              <w:pStyle w:val="Compact"/>
            </w:pPr>
            <w:r>
              <w:t xml:space="preserve">The Ministry would carry the full build cost, the specialist engineering, the hosting and the long-term maintenance itself, and would hold the skills risk. This is the route the earlier proposal mistakenly described; it is the opposite of the partnership now proposed.</w:t>
            </w:r>
          </w:p>
        </w:tc>
      </w:tr>
      <w:tr>
        <w:tc>
          <w:tcPr/>
          <w:p>
            <w:pPr>
              <w:pStyle w:val="Compact"/>
            </w:pPr>
            <w:r>
              <w:rPr>
                <w:b/>
                <w:bCs/>
              </w:rPr>
              <w:t xml:space="preserve">3 · This proposal — a partnership</w:t>
            </w:r>
          </w:p>
        </w:tc>
        <w:tc>
          <w:tcPr/>
          <w:p>
            <w:pPr>
              <w:pStyle w:val="Compact"/>
            </w:pPr>
            <w:r>
              <w:t xml:space="preserve">Oreida Pvt Ltd builds, owns, runs and hosts the platform under a licence and service arrangement; the Government pays a one-off and a monthly charge, and the platform and all data revert at the end</w:t>
            </w:r>
          </w:p>
        </w:tc>
        <w:tc>
          <w:tcPr/>
          <w:p>
            <w:pPr>
              <w:pStyle w:val="Compact"/>
            </w:pPr>
            <w:r>
              <w:t xml:space="preserve">It transfers the build, hosting, maintenance and skills risk to the supplier, at a price benchmarked to what Zimbabwe already pays for one national system, and it leaves delivery to a partner already able to operate it.</w:t>
            </w:r>
          </w:p>
        </w:tc>
      </w:tr>
    </w:tbl>
    <w:p>
      <w:pPr>
        <w:pStyle w:val="BodyText"/>
      </w:pPr>
      <w:r>
        <w:rPr>
          <w:b/>
          <w:bCs/>
        </w:rPr>
        <w:t xml:space="preserve">This is the "why this route" the appraisal asks for:</w:t>
      </w:r>
      <w:r>
        <w:t xml:space="preserve"> </w:t>
      </w:r>
      <w:r>
        <w:t xml:space="preserve">not the cheapest line on the day, but the route that carries the least delivery risk for a capability the Government does not today have in-house.</w:t>
      </w:r>
    </w:p>
    <w:bookmarkEnd w:id="12"/>
    <w:bookmarkStart w:id="13" w:name="X5a3c44d0ce284ff07c24f6f5583a71a6dc5ae14"/>
    <w:p>
      <w:pPr>
        <w:pStyle w:val="Heading2"/>
      </w:pPr>
      <w:r>
        <w:t xml:space="preserve">4. The commercial case — the partnership and the contract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Position</w:t>
            </w:r>
          </w:p>
        </w:tc>
      </w:tr>
      <w:tr>
        <w:tc>
          <w:tcPr/>
          <w:p>
            <w:pPr>
              <w:pStyle w:val="Compact"/>
            </w:pPr>
            <w:r>
              <w:t xml:space="preserve">Structure</w:t>
            </w:r>
          </w:p>
        </w:tc>
        <w:tc>
          <w:tcPr/>
          <w:p>
            <w:pPr>
              <w:pStyle w:val="Compact"/>
            </w:pPr>
            <w:r>
              <w:t xml:space="preserve">Public-private partnership under a licence; Oreida Pvt Ltd runs and hosts the platform, under service levels</w:t>
            </w:r>
          </w:p>
        </w:tc>
      </w:tr>
      <w:tr>
        <w:tc>
          <w:tcPr/>
          <w:p>
            <w:pPr>
              <w:pStyle w:val="Compact"/>
            </w:pPr>
            <w:r>
              <w:t xml:space="preserve">Price</w:t>
            </w:r>
          </w:p>
        </w:tc>
        <w:tc>
          <w:tcPr/>
          <w:p>
            <w:pPr>
              <w:pStyle w:val="Compact"/>
            </w:pPr>
            <w:r>
              <w:rPr>
                <w:b/>
                <w:bCs/>
              </w:rPr>
              <w:t xml:space="preserve">US$2,800,000 once · US$72,000 a month</w:t>
            </w:r>
            <w:r>
              <w:t xml:space="preserve"> </w:t>
            </w:r>
            <w:r>
              <w:t xml:space="preserve">· ten-year term, reviewed at year 5</w:t>
            </w:r>
          </w:p>
        </w:tc>
      </w:tr>
      <w:tr>
        <w:tc>
          <w:tcPr/>
          <w:p>
            <w:pPr>
              <w:pStyle w:val="Compact"/>
            </w:pPr>
            <w:r>
              <w:t xml:space="preserve">Payment</w:t>
            </w:r>
          </w:p>
        </w:tc>
        <w:tc>
          <w:tcPr/>
          <w:p>
            <w:pPr>
              <w:pStyle w:val="Compact"/>
            </w:pPr>
            <w:r>
              <w:t xml:space="preserve">Five steps inside the build period (licence on signature, bonded mobilisation advance, then three acceptances)</w:t>
            </w:r>
          </w:p>
        </w:tc>
      </w:tr>
      <w:tr>
        <w:tc>
          <w:tcPr/>
          <w:p>
            <w:pPr>
              <w:pStyle w:val="Compact"/>
            </w:pPr>
            <w:r>
              <w:t xml:space="preserve">Service levels</w:t>
            </w:r>
          </w:p>
        </w:tc>
        <w:tc>
          <w:tcPr/>
          <w:p>
            <w:pPr>
              <w:pStyle w:val="Compact"/>
            </w:pPr>
            <w:r>
              <w:t xml:space="preserve">Stated availability, response and resolution times; service credits are the Government's first remedy</w:t>
            </w:r>
          </w:p>
        </w:tc>
      </w:tr>
      <w:tr>
        <w:tc>
          <w:tcPr/>
          <w:p>
            <w:pPr>
              <w:pStyle w:val="Compact"/>
            </w:pPr>
            <w:r>
              <w:t xml:space="preserve">Reversion</w:t>
            </w:r>
          </w:p>
        </w:tc>
        <w:tc>
          <w:tcPr/>
          <w:p>
            <w:pPr>
              <w:pStyle w:val="Compact"/>
            </w:pPr>
            <w:r>
              <w:t xml:space="preserve">Platform</w:t>
            </w:r>
            <w:r>
              <w:t xml:space="preserve"> </w:t>
            </w:r>
            <w:r>
              <w:rPr>
                <w:b/>
                <w:bCs/>
              </w:rPr>
              <w:t xml:space="preserve">and all data</w:t>
            </w:r>
            <w:r>
              <w:t xml:space="preserve"> </w:t>
            </w:r>
            <w:r>
              <w:t xml:space="preserve">revert to the Government at the end; source code in escrow</w:t>
            </w:r>
          </w:p>
        </w:tc>
      </w:tr>
      <w:tr>
        <w:tc>
          <w:tcPr/>
          <w:p>
            <w:pPr>
              <w:pStyle w:val="Compact"/>
            </w:pPr>
            <w:r>
              <w:t xml:space="preserve">Indexation</w:t>
            </w:r>
          </w:p>
        </w:tc>
        <w:tc>
          <w:tcPr/>
          <w:p>
            <w:pPr>
              <w:pStyle w:val="Compact"/>
            </w:pPr>
            <w:r>
              <w:t xml:space="preserve">The monthly charge may rise once a year by one named published index, and no other increase</w:t>
            </w:r>
          </w:p>
        </w:tc>
      </w:tr>
    </w:tbl>
    <w:p>
      <w:pPr>
        <w:pStyle w:val="BodyText"/>
      </w:pPr>
      <w:r>
        <w:t xml:space="preserve">The contract itself is the separate</w:t>
      </w:r>
      <w:r>
        <w:t xml:space="preserve"> </w:t>
      </w:r>
      <w:r>
        <w:rPr>
          <w:b/>
          <w:bCs/>
        </w:rPr>
        <w:t xml:space="preserve">Service Agreement</w:t>
      </w:r>
      <w:r>
        <w:t xml:space="preserve">; this annex does not restate it.</w:t>
      </w:r>
    </w:p>
    <w:bookmarkEnd w:id="13"/>
    <w:bookmarkStart w:id="14" w:name="X34fe9a09523a86064e7c10af3ac601d435706ea"/>
    <w:p>
      <w:pPr>
        <w:pStyle w:val="Heading2"/>
      </w:pPr>
      <w:r>
        <w:t xml:space="preserve">5. The financial case — affordability by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One-off</w:t>
            </w:r>
          </w:p>
        </w:tc>
        <w:tc>
          <w:tcPr/>
          <w:p>
            <w:pPr>
              <w:pStyle w:val="Compact"/>
            </w:pPr>
            <w:r>
              <w:t xml:space="preserve">Monthly (US$72,000 × 12)</w:t>
            </w:r>
          </w:p>
        </w:tc>
        <w:tc>
          <w:tcPr/>
          <w:p>
            <w:pPr>
              <w:pStyle w:val="Compact"/>
            </w:pPr>
            <w:r>
              <w:t xml:space="preserve">Year total</w:t>
            </w:r>
          </w:p>
        </w:tc>
      </w:tr>
      <w:tr>
        <w:tc>
          <w:tcPr/>
          <w:p>
            <w:pPr>
              <w:pStyle w:val="Compact"/>
            </w:pPr>
            <w:r>
              <w:t xml:space="preserve">Year 1</w:t>
            </w:r>
          </w:p>
        </w:tc>
        <w:tc>
          <w:tcPr/>
          <w:p>
            <w:pPr>
              <w:pStyle w:val="Compact"/>
            </w:pPr>
            <w:r>
              <w:rPr>
                <w:b/>
                <w:bCs/>
              </w:rPr>
              <w:t xml:space="preserve">US$2,800,000</w:t>
            </w:r>
            <w:r>
              <w:t xml:space="preserve"> </w:t>
            </w:r>
            <w:r>
              <w:t xml:space="preserve">(in five steps inside the build period)</w:t>
            </w:r>
          </w:p>
        </w:tc>
        <w:tc>
          <w:tcPr/>
          <w:p>
            <w:pPr>
              <w:pStyle w:val="Compact"/>
            </w:pPr>
            <w:r>
              <w:t xml:space="preserve">US$864,000</w:t>
            </w:r>
          </w:p>
        </w:tc>
        <w:tc>
          <w:tcPr/>
          <w:p>
            <w:pPr>
              <w:pStyle w:val="Compact"/>
            </w:pPr>
            <w:r>
              <w:rPr>
                <w:b/>
                <w:bCs/>
              </w:rPr>
              <w:t xml:space="preserve">US$3,664,000</w:t>
            </w:r>
          </w:p>
        </w:tc>
      </w:tr>
      <w:tr>
        <w:tc>
          <w:tcPr/>
          <w:p>
            <w:pPr>
              <w:pStyle w:val="Compact"/>
            </w:pPr>
            <w:r>
              <w:t xml:space="preserve">Year 2</w:t>
            </w:r>
          </w:p>
        </w:tc>
        <w:tc>
          <w:tcPr/>
          <w:p>
            <w:pPr>
              <w:pStyle w:val="Compact"/>
            </w:pPr>
            <w:r>
              <w:t xml:space="preserve">—</w:t>
            </w:r>
          </w:p>
        </w:tc>
        <w:tc>
          <w:tcPr/>
          <w:p>
            <w:pPr>
              <w:pStyle w:val="Compact"/>
            </w:pPr>
            <w:r>
              <w:t xml:space="preserve">US$864,000</w:t>
            </w:r>
          </w:p>
        </w:tc>
        <w:tc>
          <w:tcPr/>
          <w:p>
            <w:pPr>
              <w:pStyle w:val="Compact"/>
            </w:pPr>
            <w:r>
              <w:t xml:space="preserve">US$864,000</w:t>
            </w:r>
          </w:p>
        </w:tc>
      </w:tr>
      <w:tr>
        <w:tc>
          <w:tcPr/>
          <w:p>
            <w:pPr>
              <w:pStyle w:val="Compact"/>
            </w:pPr>
            <w:r>
              <w:t xml:space="preserve">Year 3</w:t>
            </w:r>
          </w:p>
        </w:tc>
        <w:tc>
          <w:tcPr/>
          <w:p>
            <w:pPr>
              <w:pStyle w:val="Compact"/>
            </w:pPr>
            <w:r>
              <w:t xml:space="preserve">—</w:t>
            </w:r>
          </w:p>
        </w:tc>
        <w:tc>
          <w:tcPr/>
          <w:p>
            <w:pPr>
              <w:pStyle w:val="Compact"/>
            </w:pPr>
            <w:r>
              <w:t xml:space="preserve">US$864,000</w:t>
            </w:r>
          </w:p>
        </w:tc>
        <w:tc>
          <w:tcPr/>
          <w:p>
            <w:pPr>
              <w:pStyle w:val="Compact"/>
            </w:pPr>
            <w:r>
              <w:t xml:space="preserve">US$864,000</w:t>
            </w:r>
          </w:p>
        </w:tc>
      </w:tr>
      <w:tr>
        <w:tc>
          <w:tcPr/>
          <w:p>
            <w:pPr>
              <w:pStyle w:val="Compact"/>
            </w:pPr>
            <w:r>
              <w:t xml:space="preserve">Years 4–10</w:t>
            </w:r>
          </w:p>
        </w:tc>
        <w:tc>
          <w:tcPr/>
          <w:p>
            <w:pPr>
              <w:pStyle w:val="Compact"/>
            </w:pPr>
            <w:r>
              <w:t xml:space="preserve">—</w:t>
            </w:r>
          </w:p>
        </w:tc>
        <w:tc>
          <w:tcPr/>
          <w:p>
            <w:pPr>
              <w:pStyle w:val="Compact"/>
            </w:pPr>
            <w:r>
              <w:t xml:space="preserve">US$864,000 a year</w:t>
            </w:r>
          </w:p>
        </w:tc>
        <w:tc>
          <w:tcPr/>
          <w:p>
            <w:pPr>
              <w:pStyle w:val="Compact"/>
            </w:pPr>
            <w:r>
              <w:t xml:space="preserve">US$864,000 a year</w:t>
            </w:r>
          </w:p>
        </w:tc>
      </w:tr>
      <w:tr>
        <w:tc>
          <w:tcPr/>
          <w:p>
            <w:pPr>
              <w:pStyle w:val="Compact"/>
            </w:pPr>
            <w:r>
              <w:rPr>
                <w:b/>
                <w:bCs/>
              </w:rPr>
              <w:t xml:space="preserve">10-year total</w:t>
            </w:r>
          </w:p>
        </w:tc>
        <w:tc>
          <w:tcPr/>
          <w:p>
            <w:pPr>
              <w:pStyle w:val="Compact"/>
            </w:pPr>
            <w:r>
              <w:rPr>
                <w:b/>
                <w:bCs/>
              </w:rPr>
              <w:t xml:space="preserve">US$2,800,000</w:t>
            </w:r>
          </w:p>
        </w:tc>
        <w:tc>
          <w:tcPr/>
          <w:p>
            <w:pPr>
              <w:pStyle w:val="Compact"/>
            </w:pPr>
            <w:r>
              <w:rPr>
                <w:b/>
                <w:bCs/>
              </w:rPr>
              <w:t xml:space="preserve">US$8,640,000</w:t>
            </w:r>
          </w:p>
        </w:tc>
        <w:tc>
          <w:tcPr/>
          <w:p>
            <w:pPr>
              <w:pStyle w:val="Compact"/>
            </w:pPr>
            <w:r>
              <w:rPr>
                <w:b/>
                <w:bCs/>
              </w:rPr>
              <w:t xml:space="preserve">US$11,440,000</w:t>
            </w:r>
          </w:p>
        </w:tc>
      </w:tr>
    </w:tbl>
    <w:p>
      <w:pPr>
        <w:pStyle w:val="BodyText"/>
      </w:pPr>
      <w:r>
        <w:rPr>
          <w:b/>
          <w:bCs/>
        </w:rPr>
        <w:t xml:space="preserve">Affordability in plain terms:</w:t>
      </w:r>
      <w:r>
        <w:t xml:space="preserve"> </w:t>
      </w:r>
      <w:r>
        <w:t xml:space="preserve">the annual running cost is about</w:t>
      </w:r>
      <w:r>
        <w:t xml:space="preserve"> </w:t>
      </w:r>
      <w:r>
        <w:rPr>
          <w:b/>
          <w:bCs/>
        </w:rPr>
        <w:t xml:space="preserve">US$864,000</w:t>
      </w:r>
      <w:r>
        <w:t xml:space="preserve"> </w:t>
      </w:r>
      <w:r>
        <w:t xml:space="preserve">a year for a platform serving</w:t>
      </w:r>
      <w:r>
        <w:t xml:space="preserve"> </w:t>
      </w:r>
      <w:r>
        <w:rPr>
          <w:b/>
          <w:bCs/>
        </w:rPr>
        <w:t xml:space="preserve">16 institutions</w:t>
      </w:r>
      <w:r>
        <w:t xml:space="preserve"> </w:t>
      </w:r>
      <w:r>
        <w:t xml:space="preserve">— against the</w:t>
      </w:r>
      <w:r>
        <w:t xml:space="preserve"> </w:t>
      </w:r>
      <w:r>
        <w:rPr>
          <w:b/>
          <w:bCs/>
        </w:rPr>
        <w:t xml:space="preserve">approximately US$3 million a year</w:t>
      </w:r>
      <w:r>
        <w:t xml:space="preserve"> </w:t>
      </w:r>
      <w:r>
        <w:t xml:space="preserve">the Ministry of Finance is already paying, on the World Bank's own record, to maintain one financial system.</w:t>
      </w:r>
      <w:r>
        <w:t xml:space="preserve"> </w:t>
      </w:r>
      <w:r>
        <w:rPr>
          <w:b/>
          <w:bCs/>
        </w:rPr>
        <w:t xml:space="preserve">The funding source is a matter for the Government to identify in its own budget process; this annex states the cost, not the budget line.</w:t>
      </w:r>
      <w:r>
        <w:t xml:space="preserve"> </w:t>
      </w:r>
      <w:r>
        <w:t xml:space="preserve">The four routes discussed earlier in the proposal remain unconfirmed and are not relied on here.</w:t>
      </w:r>
    </w:p>
    <w:bookmarkEnd w:id="14"/>
    <w:bookmarkStart w:id="15" w:name="X8d43525f0f99b35b5bb106b778e121dd8e4e0e8"/>
    <w:p>
      <w:pPr>
        <w:pStyle w:val="Heading2"/>
      </w:pPr>
      <w:r>
        <w:t xml:space="preserve">6. The management case — governance and monitoring</w:t>
      </w:r>
    </w:p>
    <w:p>
      <w:pPr>
        <w:pStyle w:val="FirstParagraph"/>
      </w:pPr>
      <w:r>
        <w:rPr>
          <w:b/>
          <w:bCs/>
        </w:rPr>
        <w:t xml:space="preserve">Governance.</w:t>
      </w:r>
      <w:r>
        <w:t xml:space="preserve"> </w:t>
      </w:r>
      <w:r>
        <w:t xml:space="preserve">Oreida Pvt Ltd runs and hosts the platform; the Ministry governs the use of it. The Government retains oversight: Government requirements, Government data policy, and the platform and all data reverting at the end of the term. Delivery happens in three named build steps, each accepted in writing before the next is paid for.</w:t>
      </w:r>
    </w:p>
    <w:p>
      <w:pPr>
        <w:pStyle w:val="BodyText"/>
      </w:pPr>
      <w:r>
        <w:rPr>
          <w:b/>
          <w:bCs/>
        </w:rPr>
        <w:t xml:space="preserve">Monitoring and evaluation.</w:t>
      </w:r>
      <w:r>
        <w:t xml:space="preserve"> </w:t>
      </w:r>
      <w:r>
        <w:t xml:space="preserve">Because the platform is asked to prove itself on one institution, one policy question and one run, its success can be measured, not asserted: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What is measured</w:t>
            </w:r>
          </w:p>
        </w:tc>
        <w:tc>
          <w:tcPr/>
          <w:p>
            <w:pPr>
              <w:pStyle w:val="Compact"/>
            </w:pPr>
            <w:r>
              <w:t xml:space="preserve">How</w:t>
            </w:r>
          </w:p>
        </w:tc>
        <w:tc>
          <w:tcPr/>
          <w:p>
            <w:pPr>
              <w:pStyle w:val="Compact"/>
            </w:pPr>
            <w:r>
              <w:t xml:space="preserve">Baseline</w:t>
            </w:r>
          </w:p>
        </w:tc>
      </w:tr>
      <w:tr>
        <w:tc>
          <w:tcPr/>
          <w:p>
            <w:pPr>
              <w:pStyle w:val="Compact"/>
            </w:pPr>
            <w:r>
              <w:t xml:space="preserve">Reproducibility</w:t>
            </w:r>
          </w:p>
        </w:tc>
        <w:tc>
          <w:tcPr/>
          <w:p>
            <w:pPr>
              <w:pStyle w:val="Compact"/>
            </w:pPr>
            <w:r>
              <w:t xml:space="preserve">Re-run the same department and policy; the result must be byte-identical</w:t>
            </w:r>
          </w:p>
        </w:tc>
        <w:tc>
          <w:tcPr/>
          <w:p>
            <w:pPr>
              <w:pStyle w:val="Compact"/>
            </w:pPr>
            <w:r>
              <w:t xml:space="preserve">The platform's own replay test, which fails if a random source or the clock touches a figure</w:t>
            </w:r>
          </w:p>
        </w:tc>
      </w:tr>
      <w:tr>
        <w:tc>
          <w:tcPr/>
          <w:p>
            <w:pPr>
              <w:pStyle w:val="Compact"/>
            </w:pPr>
            <w:r>
              <w:t xml:space="preserve">Use</w:t>
            </w:r>
          </w:p>
        </w:tc>
        <w:tc>
          <w:tcPr/>
          <w:p>
            <w:pPr>
              <w:pStyle w:val="Compact"/>
            </w:pPr>
            <w:r>
              <w:t xml:space="preserve">Runs recorded per institution, with the officer and the date</w:t>
            </w:r>
          </w:p>
        </w:tc>
        <w:tc>
          <w:tcPr/>
          <w:p>
            <w:pPr>
              <w:pStyle w:val="Compact"/>
            </w:pPr>
            <w:r>
              <w:t xml:space="preserve">The platform's own run register</w:t>
            </w:r>
          </w:p>
        </w:tc>
      </w:tr>
      <w:tr>
        <w:tc>
          <w:tcPr/>
          <w:p>
            <w:pPr>
              <w:pStyle w:val="Compact"/>
            </w:pPr>
            <w:r>
              <w:t xml:space="preserve">Evidence base</w:t>
            </w:r>
          </w:p>
        </w:tc>
        <w:tc>
          <w:tcPr/>
          <w:p>
            <w:pPr>
              <w:pStyle w:val="Compact"/>
            </w:pPr>
            <w:r>
              <w:t xml:space="preserve">Reference indicators, stakeholder groups and published documents delivered</w:t>
            </w:r>
          </w:p>
        </w:tc>
        <w:tc>
          <w:tcPr/>
          <w:p>
            <w:pPr>
              <w:pStyle w:val="Compact"/>
            </w:pPr>
            <w:r>
              <w:t xml:space="preserve">16 institutions · 510 cited indicators · 150 groups · 228 published documents</w:t>
            </w:r>
          </w:p>
        </w:tc>
      </w:tr>
      <w:tr>
        <w:tc>
          <w:tcPr/>
          <w:p>
            <w:pPr>
              <w:pStyle w:val="Compact"/>
            </w:pPr>
            <w:r>
              <w:t xml:space="preserve">Value against cost</w:t>
            </w:r>
          </w:p>
        </w:tc>
        <w:tc>
          <w:tcPr/>
          <w:p>
            <w:pPr>
              <w:pStyle w:val="Compact"/>
            </w:pPr>
            <w:r>
              <w:t xml:space="preserve">The yearly cost read against Zimbabwe's own published maintenance spend for one system</w:t>
            </w:r>
          </w:p>
        </w:tc>
        <w:tc>
          <w:tcPr/>
          <w:p>
            <w:pPr>
              <w:pStyle w:val="Compact"/>
            </w:pPr>
            <w:r>
              <w:t xml:space="preserve">World Bank ICR00005623</w:t>
            </w:r>
          </w:p>
        </w:tc>
      </w:tr>
    </w:tbl>
    <w:p>
      <w:pPr>
        <w:pStyle w:val="BodyText"/>
      </w:pPr>
      <w:r>
        <w:rPr>
          <w:b/>
          <w:bCs/>
        </w:rPr>
        <w:t xml:space="preserve">An independent review before national rollout is the natural gate</w:t>
      </w:r>
      <w:r>
        <w:t xml:space="preserve">, and the proposal does not seek rollout before the pilot's results are seen.</w:t>
      </w:r>
    </w:p>
    <w:bookmarkEnd w:id="15"/>
    <w:bookmarkStart w:id="16" w:name="Xd4287c9478bea81ef139c382a27a835b29cdc14"/>
    <w:p>
      <w:pPr>
        <w:pStyle w:val="Heading2"/>
      </w:pPr>
      <w:r>
        <w:t xml:space="preserve">7. Private-finance annex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Who funds the capital?</w:t>
            </w:r>
          </w:p>
        </w:tc>
        <w:tc>
          <w:tcPr/>
          <w:p>
            <w:pPr>
              <w:pStyle w:val="Compact"/>
            </w:pPr>
            <w:r>
              <w:t xml:space="preserve">The Government funds the one-off through the five stated steps; Oreida Pvt Ltd funds its own operations and carries the delivery risk</w:t>
            </w:r>
          </w:p>
        </w:tc>
      </w:tr>
      <w:tr>
        <w:tc>
          <w:tcPr/>
          <w:p>
            <w:pPr>
              <w:pStyle w:val="Compact"/>
            </w:pPr>
            <w:r>
              <w:t xml:space="preserve">Is private finance involved beyond the supplier?</w:t>
            </w:r>
          </w:p>
        </w:tc>
        <w:tc>
          <w:tcPr/>
          <w:p>
            <w:pPr>
              <w:pStyle w:val="Compact"/>
            </w:pPr>
            <w:r>
              <w:rPr>
                <w:b/>
                <w:bCs/>
              </w:rPr>
              <w:t xml:space="preserve">No</w:t>
            </w:r>
            <w:r>
              <w:t xml:space="preserve"> </w:t>
            </w:r>
            <w:r>
              <w:t xml:space="preserve">— no third-party investor, no debt instrument and no special-purpose vehicle is proposed</w:t>
            </w:r>
          </w:p>
        </w:tc>
      </w:tr>
      <w:tr>
        <w:tc>
          <w:tcPr/>
          <w:p>
            <w:pPr>
              <w:pStyle w:val="Compact"/>
            </w:pPr>
            <w:r>
              <w:t xml:space="preserve">What is banked or bonded?</w:t>
            </w:r>
          </w:p>
        </w:tc>
        <w:tc>
          <w:tcPr/>
          <w:p>
            <w:pPr>
              <w:pStyle w:val="Compact"/>
            </w:pPr>
            <w:r>
              <w:t xml:space="preserve">The US$500,000 mobilisation advance is</w:t>
            </w:r>
            <w:r>
              <w:t xml:space="preserve"> </w:t>
            </w:r>
            <w:r>
              <w:rPr>
                <w:b/>
                <w:bCs/>
              </w:rPr>
              <w:t xml:space="preserve">against a bank guarantee</w:t>
            </w:r>
            <w:r>
              <w:t xml:space="preserve">; a Zimbabwe precedent (an unbonded advance recorded as an audit finding by the Auditor-General) is why the bond is required</w:t>
            </w:r>
          </w:p>
        </w:tc>
      </w:tr>
      <w:tr>
        <w:tc>
          <w:tcPr/>
          <w:p>
            <w:pPr>
              <w:pStyle w:val="Compact"/>
            </w:pPr>
            <w:r>
              <w:t xml:space="preserve">Contingent liabilities</w:t>
            </w:r>
          </w:p>
        </w:tc>
        <w:tc>
          <w:tcPr/>
          <w:p>
            <w:pPr>
              <w:pStyle w:val="Compact"/>
            </w:pPr>
            <w:r>
              <w:t xml:space="preserve">The Government's exposure is the stated one-off and monthly charges under the service levels, with service credits as its first remedy; there is no revenue guarantee and no availability payment beyond the monthly charge</w:t>
            </w:r>
          </w:p>
        </w:tc>
      </w:tr>
      <w:tr>
        <w:tc>
          <w:tcPr/>
          <w:p>
            <w:pPr>
              <w:pStyle w:val="Compact"/>
            </w:pPr>
            <w:r>
              <w:t xml:space="preserve">Assets at the end</w:t>
            </w:r>
          </w:p>
        </w:tc>
        <w:tc>
          <w:tcPr/>
          <w:p>
            <w:pPr>
              <w:pStyle w:val="Compact"/>
            </w:pPr>
            <w:r>
              <w:t xml:space="preserve">The platform, the data and the source code (in escrow) revert to the Government</w:t>
            </w:r>
          </w:p>
        </w:tc>
      </w:tr>
    </w:tbl>
    <w:bookmarkEnd w:id="16"/>
    <w:bookmarkStart w:id="17" w:name="Xd5344571ec7db3839c540adde2054e1c3a62a30"/>
    <w:p>
      <w:pPr>
        <w:pStyle w:val="Heading2"/>
      </w:pPr>
      <w:r>
        <w:t xml:space="preserve">8. Sources</w:t>
      </w:r>
    </w:p>
    <w:p>
      <w:pPr>
        <w:pStyle w:val="Compact"/>
        <w:numPr>
          <w:ilvl w:val="0"/>
          <w:numId w:val="1001"/>
        </w:numPr>
      </w:pPr>
      <w:r>
        <w:rPr>
          <w:b/>
          <w:bCs/>
        </w:rPr>
        <w:t xml:space="preserve">ZEPARI's documented finding</w:t>
      </w:r>
      <w:r>
        <w:t xml:space="preserve"> </w:t>
      </w:r>
      <w:r>
        <w:t xml:space="preserve">on the absence of a standardised policy-making procedure.</w:t>
      </w:r>
    </w:p>
    <w:p>
      <w:pPr>
        <w:pStyle w:val="Compact"/>
        <w:numPr>
          <w:ilvl w:val="0"/>
          <w:numId w:val="1001"/>
        </w:numPr>
      </w:pPr>
      <w:r>
        <w:rPr>
          <w:b/>
          <w:bCs/>
        </w:rPr>
        <w:t xml:space="preserve">World Bank Report No. ICR00005623</w:t>
      </w:r>
      <w:r>
        <w:t xml:space="preserve">,</w:t>
      </w:r>
      <w:r>
        <w:t xml:space="preserve"> </w:t>
      </w:r>
      <w:r>
        <w:rPr>
          <w:i/>
          <w:iCs/>
        </w:rPr>
        <w:t xml:space="preserve">Zimbabwe: Public Financial Management Enhancement Project</w:t>
      </w:r>
      <w:r>
        <w:t xml:space="preserve"> </w:t>
      </w:r>
      <w:r>
        <w:t xml:space="preserve">(P152932), 4 February 2022 — the maintenance and appraisal figures.</w:t>
      </w:r>
    </w:p>
    <w:p>
      <w:pPr>
        <w:pStyle w:val="Compact"/>
        <w:numPr>
          <w:ilvl w:val="0"/>
          <w:numId w:val="1001"/>
        </w:numPr>
      </w:pPr>
      <w:r>
        <w:rPr>
          <w:b/>
          <w:bCs/>
        </w:rPr>
        <w:t xml:space="preserve">Auditor-General's report</w:t>
      </w:r>
      <w:r>
        <w:t xml:space="preserve"> </w:t>
      </w:r>
      <w:r>
        <w:t xml:space="preserve">(held in the project's national corpus) — the expired</w:t>
      </w:r>
      <w:r>
        <w:t xml:space="preserve"> </w:t>
      </w:r>
      <w:r>
        <w:rPr>
          <w:b/>
          <w:bCs/>
        </w:rPr>
        <w:t xml:space="preserve">advance-payment bond</w:t>
      </w:r>
      <w:r>
        <w:t xml:space="preserve"> </w:t>
      </w:r>
      <w:r>
        <w:t xml:space="preserve">recorded on a Ministry vehicle contract, the reason the mobilisation advance is bonded here.</w:t>
      </w:r>
    </w:p>
    <w:p>
      <w:pPr>
        <w:pStyle w:val="Compact"/>
        <w:numPr>
          <w:ilvl w:val="0"/>
          <w:numId w:val="1001"/>
        </w:numPr>
      </w:pPr>
      <w:r>
        <w:t xml:space="preserve">The comparator and benefit figures in the accompanying</w:t>
      </w:r>
      <w:r>
        <w:t xml:space="preserve"> </w:t>
      </w:r>
      <w:r>
        <w:rPr>
          <w:b/>
          <w:bCs/>
        </w:rPr>
        <w:t xml:space="preserve">Cost Comparison</w:t>
      </w:r>
      <w:r>
        <w:t xml:space="preserve"> </w:t>
      </w:r>
      <w:r>
        <w:t xml:space="preserve">chapter, and the system's own design in the</w:t>
      </w:r>
      <w:r>
        <w:t xml:space="preserve"> </w:t>
      </w:r>
      <w:r>
        <w:rPr>
          <w:b/>
          <w:bCs/>
        </w:rPr>
        <w:t xml:space="preserve">Technical Specification</w:t>
      </w:r>
      <w:r>
        <w:t xml:space="preserve">.</w:t>
      </w:r>
    </w:p>
    <w:p>
      <w:pPr>
        <w:pStyle w:val="FirstParagraph"/>
      </w:pPr>
      <w:r>
        <w:rPr>
          <w:b/>
          <w:bCs/>
        </w:rPr>
        <w:t xml:space="preserve">END OF DOCUMENT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2026-10-12T17:53:34Z</dcterms:created>
  <dcterms:modified xsi:type="dcterms:W3CDTF">2026-10-12T17:53:34Z</dcterms:modified>
</cp:coreProperties>
</file>

<file path=docProps/custom.xml><?xml version="1.0" encoding="utf-8"?>
<Properties xmlns="http://schemas.openxmlformats.org/officeDocument/2006/custom-properties" xmlns:vt="http://schemas.openxmlformats.org/officeDocument/2006/docPropsVTypes"/>
</file>