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34"/>
        </w:rPr>
        <w:t>2026 年第一季度 门店销售数据分析报告</w:t>
      </w:r>
    </w:p>
    <w:p>
      <w:pPr>
        <w:jc w:val="center"/>
      </w:pPr>
      <w:r>
        <w:rPr>
          <w:rFonts w:ascii="Arial" w:hAnsi="Arial" w:eastAsia="微软雅黑"/>
          <w:b w:val="0"/>
          <w:color w:val="52514E"/>
          <w:sz w:val="20"/>
        </w:rPr>
        <w:t>数据范围：4 个门店 · 2026-01 ~ 2026-03 · 12 条门店月度记录</w:t>
      </w:r>
    </w:p>
    <w:p>
      <w:pPr>
        <w:jc w:val="center"/>
      </w:pPr>
      <w:r>
        <w:rPr>
          <w:rFonts w:ascii="Arial" w:hAnsi="Arial" w:eastAsia="微软雅黑"/>
          <w:b w:val="0"/>
          <w:color w:val="52514E"/>
          <w:sz w:val="20"/>
        </w:rPr>
        <w:t>生成方式：多份门店报送 Excel 自动合并 → 汇总指标 → 柱状图 → 本报告</w:t>
      </w:r>
    </w:p>
    <w:p/>
    <w:p>
      <w:pPr>
        <w:pStyle w:val="Heading1"/>
      </w:pPr>
      <w:r>
        <w:rPr>
          <w:rFonts w:ascii="Arial" w:hAnsi="Arial" w:eastAsia="微软雅黑"/>
          <w:color w:val="0B0B0B"/>
        </w:rPr>
        <w:t>一、摘要：5 条核心结论</w:t>
      </w:r>
    </w:p>
    <w:p>
      <w:pPr>
        <w:pStyle w:val="ListBullet"/>
      </w:pPr>
      <w:r>
        <w:rPr>
          <w:rFonts w:ascii="Arial" w:hAnsi="Arial" w:eastAsia="微软雅黑"/>
          <w:sz w:val="21"/>
        </w:rPr>
        <w:t>大盘回暖但走过一个坑。Q1 合计销售额 6,374,820 元、订单 10,180 单，整体客单价 626.21 元。2 月销售额 1,938,500 元，环比下滑 7.77%；3 月回升至 2,334,520 元，环比 +20.43%，且比 1 月高 11.07%。季度走势是“V”形，不是单边下滑。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福田旗舰店仍是第一大户，但它是四个店里唯一 3 月不如 1 月的门店。Q1 销售额 2,449,950 元、占比 38.43%；3 月 814,200 元较 1 月 864,000 元下降 5.76%。大盘在涨、头部门店在跌，值得单独复盘。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东莞松山湖店是增速冠军，增长由订单量拉动，客单价并未走低。3 月较 1 月 +65.85%、3 月环比 +43.21%，均为四店最高；但体量最小（占比 10.81%），综合客单价 450.50 元、四店最低。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客单价两极分化明显。最高福田 714.27 元，最低松山湖 450.50 元，相差 263.77 元（58.6%）。这个差距不是门店规模差异能解释的，具体成因需结合各店客群与商品结构再核实。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南山科技园店波动最大但恢复力最强。2 月环比 -11.69%，跌幅为四店最深；但 3 月环比 +34.31%、较 1 月 +18.61%，反弹力度四店第二，Q1 占比 31.14%、体量已达福田的 81.03%。</w:t>
      </w:r>
    </w:p>
    <w:p>
      <w:pPr>
        <w:pStyle w:val="Heading1"/>
      </w:pPr>
      <w:r>
        <w:rPr>
          <w:rFonts w:ascii="Arial" w:hAnsi="Arial" w:eastAsia="微软雅黑"/>
          <w:color w:val="0B0B0B"/>
        </w:rPr>
        <w:t>二、数据来源与处理说明</w:t>
      </w:r>
    </w:p>
    <w:p>
      <w:r>
        <w:rPr>
          <w:rFonts w:ascii="Arial" w:hAnsi="Arial" w:eastAsia="微软雅黑"/>
          <w:b w:val="0"/>
          <w:sz w:val="21"/>
        </w:rPr>
        <w:t>本次分析的基础是 4 个门店各自报送的 Q1 销售数据文件。这些文件由各门店自行制作，格式并不统一，人工复制粘贴时存在明确的出错风险：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源文件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读入记录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备注（本次实际处理掉的差异）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01_福田旗舰店_2026Q1.xlsx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 行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第 1 行是标题行，表头在第 2 行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02_南山科技园店_2026Q1.xlsx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 行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标准格式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03_广州天河店_2026Q1.xlsx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 行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列顺序不同，且多一列“备注”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04_东莞松山湖店_2026Q1.xlsx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 行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末尾带“合计”行，已剔除（否则会重复计算）</w:t>
            </w:r>
          </w:p>
        </w:tc>
      </w:tr>
    </w:tbl>
    <w:p>
      <w:r>
        <w:rPr>
          <w:rFonts w:ascii="Arial" w:hAnsi="Arial" w:eastAsia="微软雅黑"/>
          <w:b w:val="0"/>
          <w:sz w:val="21"/>
        </w:rPr>
      </w:r>
    </w:p>
    <w:p>
      <w:r>
        <w:rPr>
          <w:rFonts w:ascii="Arial" w:hAnsi="Arial" w:eastAsia="微软雅黑"/>
          <w:b/>
          <w:sz w:val="21"/>
        </w:rPr>
        <w:t>合并口径：</w:t>
      </w:r>
    </w:p>
    <w:p>
      <w:pPr>
        <w:pStyle w:val="ListBullet"/>
      </w:pPr>
      <w:r>
        <w:rPr>
          <w:rFonts w:ascii="Arial" w:hAnsi="Arial" w:eastAsia="微软雅黑"/>
          <w:sz w:val="21"/>
        </w:rPr>
        <w:t>按“门店 + 月份”识别唯一记录，跨文件纵向合并，得到 12 条明细；列按表头名称匹配，不依赖列位置。</w:t>
      </w:r>
    </w:p>
    <w:p>
      <w:pPr>
        <w:pStyle w:val="ListBullet"/>
      </w:pPr>
      <w:r>
        <w:rPr>
          <w:rFonts w:ascii="Arial" w:hAnsi="Arial" w:eastAsia="微软雅黑"/>
          <w:sz w:val="21"/>
        </w:rPr>
        <w:t>跳过标题行、忽略多余列、剔除“合计/小计/总计”行——这三类正是手工合并最容易算错的地方。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每行强制校验 销售额 = 订单数 × 客单价（误差 &gt; 0.01 元即报错），12 行全部自洽。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门店与整体的“综合客单价” = Q1销售额 ÷ Q1订单数（加权），不是三个月客单价的简单平均。以福田为例：加权 714.27 元，简单平均 715.00 元；松山湖加权 450.50 元、简单平均 447.67 元，手算极易出错。</w:t>
      </w:r>
    </w:p>
    <w:p>
      <w:pPr>
        <w:pStyle w:val="Heading1"/>
      </w:pPr>
      <w:r>
        <w:rPr>
          <w:rFonts w:ascii="Arial" w:hAnsi="Arial" w:eastAsia="微软雅黑"/>
          <w:color w:val="0B0B0B"/>
        </w:rPr>
        <w:t>三、整体表现（月度）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月份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销售额（元）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订单数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客单价（元）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环比</w:t>
            </w:r>
          </w:p>
        </w:tc>
      </w:tr>
      <w:tr>
        <w:tc>
          <w:tcPr>
            <w:tcW w:type="dxa" w:w="1904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1月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2,101,800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3,360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625.54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—</w:t>
            </w:r>
          </w:p>
        </w:tc>
      </w:tr>
      <w:tr>
        <w:tc>
          <w:tcPr>
            <w:tcW w:type="dxa" w:w="1904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2月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1,938,500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3,070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631.43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-7.77%</w:t>
            </w:r>
          </w:p>
        </w:tc>
      </w:tr>
      <w:tr>
        <w:tc>
          <w:tcPr>
            <w:tcW w:type="dxa" w:w="1904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3月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2,334,520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3,750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622.54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+20.43%</w:t>
            </w:r>
          </w:p>
        </w:tc>
      </w:tr>
      <w:tr>
        <w:tc>
          <w:tcPr>
            <w:tcW w:type="dxa" w:w="1904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Q1 合计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6,374,820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10,180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626.21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—</w:t>
            </w:r>
          </w:p>
        </w:tc>
      </w:tr>
    </w:tbl>
    <w:p>
      <w:r>
        <w:rPr>
          <w:rFonts w:ascii="Arial" w:hAnsi="Arial" w:eastAsia="微软雅黑"/>
          <w:b w:val="0"/>
          <w:sz w:val="21"/>
        </w:rPr>
      </w:r>
    </w:p>
    <w:p>
      <w:r>
        <w:rPr>
          <w:rFonts w:ascii="Arial" w:hAnsi="Arial" w:eastAsia="微软雅黑"/>
          <w:b w:val="0"/>
          <w:sz w:val="21"/>
        </w:rPr>
        <w:t>2 月环比 -7.77%，是全季唯一负增长月份；天河店在源文件备注中写明“春节闭店 4 天”，与 2 月的量价齐跌互相印证（订单 3,070 单，为三个月最低）。3 月订单跳升至 3,750 单，是拉动反弹的主因——注意 3 月客单价 622.54 元反而低于 2 月，说明反弹靠的是“量”而非“价”。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30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柱状图3_月度大盘走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b w:val="0"/>
          <w:color w:val="52514E"/>
          <w:sz w:val="18"/>
        </w:rPr>
        <w:t>图 3  2026 Q1 月度大盘销售额走势（柱上为销售额，红/绿文字为环比）</w:t>
      </w:r>
    </w:p>
    <w:p>
      <w:pPr>
        <w:pStyle w:val="Heading1"/>
      </w:pPr>
      <w:r>
        <w:rPr>
          <w:rFonts w:ascii="Arial" w:hAnsi="Arial" w:eastAsia="微软雅黑"/>
          <w:color w:val="0B0B0B"/>
        </w:rPr>
        <w:t>四、门店对比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门店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1 月（元）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2 月（元）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3 月（元）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Q1 销售额（元）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Q1 订单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综合客单价（元）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占比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3 月较 1 月</w:t>
            </w:r>
          </w:p>
        </w:tc>
      </w:tr>
      <w:tr>
        <w:tc>
          <w:tcPr>
            <w:tcW w:type="dxa" w:w="105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深圳福田旗舰店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864,000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771,750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814,200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2,449,950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3,430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714.27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38.43%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-5.76%</w:t>
            </w:r>
          </w:p>
        </w:tc>
      </w:tr>
      <w:tr>
        <w:tc>
          <w:tcPr>
            <w:tcW w:type="dxa" w:w="105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深圳南山科技园店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646,800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571,200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767,200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1,985,200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2,950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672.95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31.14%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+18.61%</w:t>
            </w:r>
          </w:p>
        </w:tc>
      </w:tr>
      <w:tr>
        <w:tc>
          <w:tcPr>
            <w:tcW w:type="dxa" w:w="105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广州天河店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410,400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386,400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453,600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1,250,400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2,270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550.84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19.61%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+10.53%</w:t>
            </w:r>
          </w:p>
        </w:tc>
      </w:tr>
      <w:tr>
        <w:tc>
          <w:tcPr>
            <w:tcW w:type="dxa" w:w="105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东莞松山湖店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180,600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209,150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299,520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689,270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1,530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450.50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10.81%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+65.85%</w:t>
            </w:r>
          </w:p>
        </w:tc>
      </w:tr>
      <w:tr>
        <w:tc>
          <w:tcPr>
            <w:tcW w:type="dxa" w:w="1058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合计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2,101,800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1,938,500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2,334,520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6,374,820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10,180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626.21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100.00%</w:t>
            </w:r>
          </w:p>
        </w:tc>
        <w:tc>
          <w:tcPr>
            <w:tcW w:type="dxa" w:w="1058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+11.07%</w:t>
            </w:r>
          </w:p>
        </w:tc>
      </w:tr>
    </w:tbl>
    <w:p>
      <w:r>
        <w:rPr>
          <w:rFonts w:ascii="Arial" w:hAnsi="Arial" w:eastAsia="微软雅黑"/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84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柱状图1_各门店Q1销售额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4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b w:val="0"/>
          <w:color w:val="52514E"/>
          <w:sz w:val="18"/>
        </w:rPr>
        <w:t>图 1  各门店 Q1 销售额对比（柱上为销售额与占比）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柱状图2_各门店分月销售额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b w:val="0"/>
          <w:color w:val="52514E"/>
          <w:sz w:val="18"/>
        </w:rPr>
        <w:t>图 2  各门店分月销售额（分组柱，三色对应 1/2/3 月）</w:t>
      </w:r>
    </w:p>
    <w:p>
      <w:pPr>
        <w:pStyle w:val="Heading1"/>
      </w:pPr>
      <w:r>
        <w:rPr>
          <w:rFonts w:ascii="Arial" w:hAnsi="Arial" w:eastAsia="微软雅黑"/>
          <w:color w:val="0B0B0B"/>
        </w:rPr>
        <w:t>五、关键发现与建议</w:t>
      </w:r>
    </w:p>
    <w:p>
      <w:r>
        <w:rPr>
          <w:rFonts w:ascii="Arial" w:hAnsi="Arial" w:eastAsia="微软雅黑"/>
          <w:b/>
          <w:sz w:val="21"/>
        </w:rPr>
        <w:t>1. 福田旗舰店：大盘回暖它没跟上，需要单独复盘。</w:t>
      </w:r>
    </w:p>
    <w:p>
      <w:r>
        <w:rPr>
          <w:rFonts w:ascii="Arial" w:hAnsi="Arial" w:eastAsia="微软雅黑"/>
          <w:b w:val="0"/>
          <w:sz w:val="21"/>
        </w:rPr>
        <w:t>3 月销售额 814,200 元，比 1 月低 5.76%，是四店中唯一“3 月不如 1 月”的；同期大盘 3 月比 1 月高 11.07%。福田客单价 714.27 元、四店最高，说明它不靠低价，下滑更可能来自客流或转化。建议拉出 3 月福田的进店人数/成交率，与 1 月逐项比对。</w:t>
      </w:r>
    </w:p>
    <w:p>
      <w:r>
        <w:rPr>
          <w:rFonts w:ascii="Arial" w:hAnsi="Arial" w:eastAsia="微软雅黑"/>
          <w:b/>
          <w:sz w:val="21"/>
        </w:rPr>
        <w:t>2. 东莞松山湖店：增速冠军，增长由订单量拉动，客单价四店最低。</w:t>
      </w:r>
    </w:p>
    <w:p>
      <w:r>
        <w:rPr>
          <w:rFonts w:ascii="Arial" w:hAnsi="Arial" w:eastAsia="微软雅黑"/>
          <w:b w:val="0"/>
          <w:sz w:val="21"/>
        </w:rPr>
        <w:t>3 月较 1 月 +65.85%、环比 +43.21%，四店第一；2 月大盘环比 -7.77%、四店中三店下滑，唯独它逆势 +15.81%，是四店中唯一 2 月正增长的门店。这里需要澄清一个容易想当然的判断：它的增长不是靠降价换来的。客单价三个月为 430 → 445 → 468 元，是逐月上升的（3 月较 1 月 +8.84%），订单数则从 420 单增至 640 单（+52.38%），属于量价齐升。它的“低价”只是相对四店而言的绝对水平最低（综合客单价 450.50 元，仅为福田的 63.1%），体量占比也只有 10.81%。建议保持当前定价节奏，并核实上量是否以牺牲毛利为代价。</w:t>
      </w:r>
    </w:p>
    <w:p>
      <w:r>
        <w:rPr>
          <w:rFonts w:ascii="Arial" w:hAnsi="Arial" w:eastAsia="微软雅黑"/>
          <w:b/>
          <w:sz w:val="21"/>
        </w:rPr>
        <w:t>3. 南山科技园店：波动最大、恢复最强，可加大投入。</w:t>
      </w:r>
    </w:p>
    <w:p>
      <w:r>
        <w:rPr>
          <w:rFonts w:ascii="Arial" w:hAnsi="Arial" w:eastAsia="微软雅黑"/>
          <w:b w:val="0"/>
          <w:sz w:val="21"/>
        </w:rPr>
        <w:t>2 月环比 -11.69%，跌幅四店最深；但 3 月 767,200 元、环比 +34.31%，反弹力度四店第二，3 月较 1 月 +18.61%，Q1 占比 31.14%、体量已达福田的 81.03%。建议核查 2 月下滑是否为一次性因素，若如此则可加大投入。</w:t>
      </w:r>
    </w:p>
    <w:p>
      <w:r>
        <w:rPr>
          <w:rFonts w:ascii="Arial" w:hAnsi="Arial" w:eastAsia="微软雅黑"/>
          <w:b/>
          <w:sz w:val="21"/>
        </w:rPr>
        <w:t>4. 广州天河店：春节影响已消化。</w:t>
      </w:r>
    </w:p>
    <w:p>
      <w:r>
        <w:rPr>
          <w:rFonts w:ascii="Arial" w:hAnsi="Arial" w:eastAsia="微软雅黑"/>
          <w:b w:val="0"/>
          <w:sz w:val="21"/>
        </w:rPr>
        <w:t>2 月环比 -5.85%、降至 386,400 元，3 月回升到 453,600 元、环比 +17.39%，为季度最高月份。天河店源表多出一列“备注”，未被并入合并明细（避免污染表结构），但其中记有 2 月“春节闭店 4 天”，与 -5.85% 的跌幅方向一致，可解释 2 月的回落；同列还记有 1 月“含元旦档促销”、3 月“3/15 会员日”。</w:t>
      </w:r>
    </w:p>
    <w:p>
      <w:r>
        <w:rPr>
          <w:rFonts w:ascii="Arial" w:hAnsi="Arial" w:eastAsia="微软雅黑"/>
          <w:b/>
          <w:sz w:val="21"/>
        </w:rPr>
        <w:t>5. 把这条流水线固化下来，下个月只换源文件。</w:t>
      </w:r>
    </w:p>
    <w:p>
      <w:r>
        <w:rPr>
          <w:rFonts w:ascii="Arial" w:hAnsi="Arial" w:eastAsia="微软雅黑"/>
          <w:b w:val="0"/>
          <w:sz w:val="21"/>
        </w:rPr>
        <w:t>本次从“4 份格式不同的门店报表”到“合并表 + 3 张柱状图 + 本报告”，无需人工复制粘贴与手写公式。建议把合并口径（跳过标题行、剔除合计行、按表头名匹配列、加权客单价）固定为月度模板；下个月只需把新报表放进同一目录，重跑一次即可，10 余个门店同样适用。</w:t>
      </w:r>
    </w:p>
    <w:p>
      <w:pPr>
        <w:pStyle w:val="Heading1"/>
      </w:pPr>
      <w:r>
        <w:rPr>
          <w:rFonts w:ascii="Arial" w:hAnsi="Arial" w:eastAsia="微软雅黑"/>
          <w:color w:val="0B0B0B"/>
        </w:rPr>
        <w:t>六、附录：核对口径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项目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值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合并明细行数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12 行（4 门店 × 3 月）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合并明细 工作表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剔除的记录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东莞松山湖店 / 合计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源文件尾行，避免重复计算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自洽校验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销售额 = 订单数 × 客单价，12/12 通过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脚本逐行 assert，容差 0.01 元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Q1 总销售额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6,374,820 元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合并明细 C 列合计（Excel 公式）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Q1 总订单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10,180 单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合并明细 D 列合计（Excel 公式）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整体综合客单价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626.21 元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Q1 总销售额 ÷ Q1 总订单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sz w:val="19"/>
              </w:rPr>
              <w:t>图表与报告取数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与 2026Q1_门店销售合并分析.xlsx 完全一致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sz w:val="19"/>
              </w:rPr>
              <w:t>阶段1_多表合并/合并核对数据.json</w:t>
            </w:r>
          </w:p>
        </w:tc>
      </w:tr>
    </w:tbl>
    <w:p>
      <w:r>
        <w:rPr>
          <w:rFonts w:ascii="Arial" w:hAnsi="Arial" w:eastAsia="微软雅黑"/>
          <w:b w:val="0"/>
          <w:sz w:val="21"/>
        </w:rPr>
      </w:r>
    </w:p>
    <w:p>
      <w:r>
        <w:rPr>
          <w:rFonts w:ascii="Arial" w:hAnsi="Arial" w:eastAsia="微软雅黑"/>
          <w:b w:val="0"/>
          <w:color w:val="52514E"/>
          <w:sz w:val="18"/>
        </w:rPr>
        <w:t>说明：本报告所有数字均由门店报送的原始 xlsx 真实计算得出，未做任何估计或填充；工作簿中的汇总单元格（合计、分月、环比、占比）均为 Excel 公式，打开即重算，可与本报告逐项核对。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