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276" w:lineRule="auto"/>
        <w:jc w:val="center"/>
      </w:pPr>
      <w:r>
        <w:rPr>
          <w:rFonts w:ascii="微软雅黑" w:hAnsi="微软雅黑" w:eastAsia="微软雅黑"/>
          <w:b w:val="0"/>
          <w:color w:val="14253D"/>
          <w:sz w:val="36"/>
        </w:rPr>
        <w:t>云启科技 · 2026 年 Q3 跨部门综合报告</w:t>
      </w:r>
    </w:p>
    <w:p>
      <w:pPr>
        <w:spacing w:after="240" w:before="0" w:line="276" w:lineRule="auto"/>
        <w:jc w:val="center"/>
      </w:pPr>
      <w:r>
        <w:rPr>
          <w:rFonts w:ascii="微软雅黑" w:hAnsi="微软雅黑" w:eastAsia="微软雅黑"/>
          <w:b w:val="0"/>
          <w:color w:val="14253D"/>
          <w:sz w:val="21"/>
        </w:rPr>
        <w:t>（基于 3 份部门季度总结：市场部 / 客服部 / 研发部）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color w:val="14253D"/>
                <w:sz w:val="20"/>
              </w:rPr>
              <w:t>报告主题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color w:val="14253D"/>
                <w:sz w:val="20"/>
              </w:rPr>
              <w:t>云启科技 2026 年 Q3 三部门跨部门综合分析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color w:val="14253D"/>
                <w:sz w:val="20"/>
              </w:rPr>
              <w:t>覆盖文档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color w:val="14253D"/>
                <w:sz w:val="20"/>
              </w:rPr>
              <w:t>市场部（周敏）；客服部（孙涛）；研发部（郑凯）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color w:val="14253D"/>
                <w:sz w:val="20"/>
              </w:rPr>
              <w:t>编制依据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color w:val="14253D"/>
                <w:sz w:val="20"/>
              </w:rPr>
              <w:t>市场部_2026Q3季度总结.docx；客服部_2026Q3季度总结.docx；研发部_2026Q3季度总结.docx</w:t>
            </w:r>
          </w:p>
        </w:tc>
      </w:tr>
    </w:tbl>
    <w:p>
      <w:pPr>
        <w:spacing w:after="120" w:before="240" w:line="276" w:lineRule="auto"/>
      </w:pPr>
      <w:r>
        <w:rPr>
          <w:rFonts w:ascii="微软雅黑" w:hAnsi="微软雅黑" w:eastAsia="微软雅黑"/>
          <w:b/>
          <w:color w:val="2F81F7"/>
          <w:sz w:val="26"/>
        </w:rPr>
        <w:t>一、共同主题（跨文档重复出现，每条标注来源）</w:t>
      </w:r>
    </w:p>
    <w:p>
      <w:pPr>
        <w:spacing w:after="60" w:before="120" w:line="276" w:lineRule="auto"/>
      </w:pPr>
      <w:r>
        <w:rPr>
          <w:rFonts w:ascii="微软雅黑" w:hAnsi="微软雅黑" w:eastAsia="微软雅黑"/>
          <w:b/>
          <w:color w:val="2F81F7"/>
          <w:sz w:val="21"/>
        </w:rPr>
        <w:t xml:space="preserve">★ </w:t>
      </w:r>
      <w:r>
        <w:rPr>
          <w:rFonts w:ascii="微软雅黑" w:hAnsi="微软雅黑" w:eastAsia="微软雅黑"/>
          <w:b/>
          <w:color w:val="14253D"/>
          <w:sz w:val="22"/>
        </w:rPr>
        <w:t>主题 1：AI 从「试点」推进到「业务在用」，成为跨部门共同主线</w:t>
      </w:r>
    </w:p>
    <w:p>
      <w:pPr>
        <w:spacing w:after="100" w:before="0" w:line="276" w:lineRule="auto"/>
        <w:ind w:left="227"/>
      </w:pPr>
      <w:r>
        <w:rPr>
          <w:rFonts w:ascii="微软雅黑" w:hAnsi="微软雅黑" w:eastAsia="微软雅黑"/>
          <w:b/>
          <w:color w:val="5B6B7F"/>
          <w:sz w:val="21"/>
        </w:rPr>
        <w:t>综合判断：</w:t>
      </w:r>
      <w:r>
        <w:rPr>
          <w:rFonts w:ascii="微软雅黑" w:hAnsi="微软雅黑" w:eastAsia="微软雅黑"/>
          <w:b w:val="0"/>
          <w:color w:val="14253D"/>
          <w:sz w:val="21"/>
        </w:rPr>
        <w:t>三个部门在 Q3 都把 AI 落到了具体业务环节，且都有可量化的产出——这是本季度最一致的信号。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b/>
                <w:color w:val="14253D"/>
                <w:sz w:val="18"/>
              </w:rPr>
              <w:t>来源文档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/>
                <w:color w:val="14253D"/>
                <w:sz w:val="18"/>
              </w:rPr>
              <w:t>该文档的证据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/>
                <w:color w:val="14253D"/>
                <w:sz w:val="18"/>
              </w:rPr>
              <w:t>原文片段（可回溯）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14253D"/>
                <w:sz w:val="17"/>
              </w:rPr>
              <w:t>市场部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14253D"/>
                <w:sz w:val="17"/>
              </w:rPr>
              <w:t>AI 内容生产（产出 +220%）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14253D"/>
                <w:sz w:val="17"/>
              </w:rPr>
              <w:t>引入 AI 生成素材，单条创意制作周期由 3 天缩短至 4 小时，素材产出量提升 220%。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14253D"/>
                <w:sz w:val="17"/>
              </w:rPr>
              <w:t>客服部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14253D"/>
                <w:sz w:val="17"/>
              </w:rPr>
              <w:t>AI 智能客服（解决率 46%）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14253D"/>
                <w:sz w:val="17"/>
              </w:rPr>
              <w:t>上线智能应答，AI 独立解决率 46%，人工话务量下降 35%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14253D"/>
                <w:sz w:val="17"/>
              </w:rPr>
              <w:t>研发部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14253D"/>
                <w:sz w:val="17"/>
              </w:rPr>
              <w:t>大模型接口开放（5 场景 / 评审 +30%）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14253D"/>
                <w:sz w:val="17"/>
              </w:rPr>
              <w:t>支撑客服、市场等 5 个业务场景接入；研发内部引入 AI 辅助编码，代码评审效率提升 30%</w:t>
            </w:r>
          </w:p>
        </w:tc>
      </w:tr>
    </w:tbl>
    <w:p>
      <w:pPr>
        <w:spacing w:after="60" w:before="120" w:line="276" w:lineRule="auto"/>
      </w:pPr>
      <w:r>
        <w:rPr>
          <w:rFonts w:ascii="微软雅黑" w:hAnsi="微软雅黑" w:eastAsia="微软雅黑"/>
          <w:b/>
          <w:color w:val="2F81F7"/>
          <w:sz w:val="21"/>
        </w:rPr>
        <w:t xml:space="preserve">★ </w:t>
      </w:r>
      <w:r>
        <w:rPr>
          <w:rFonts w:ascii="微软雅黑" w:hAnsi="微软雅黑" w:eastAsia="微软雅黑"/>
          <w:b/>
          <w:color w:val="14253D"/>
          <w:sz w:val="22"/>
        </w:rPr>
        <w:t>主题 2：客户 / 用户体验成为三部门共同焦点，但切入点在各环节</w:t>
      </w:r>
    </w:p>
    <w:p>
      <w:pPr>
        <w:spacing w:after="100" w:before="0" w:line="276" w:lineRule="auto"/>
        <w:ind w:left="227"/>
      </w:pPr>
      <w:r>
        <w:rPr>
          <w:rFonts w:ascii="微软雅黑" w:hAnsi="微软雅黑" w:eastAsia="微软雅黑"/>
          <w:b/>
          <w:color w:val="5B6B7F"/>
          <w:sz w:val="21"/>
        </w:rPr>
        <w:t>综合判断：</w:t>
      </w:r>
      <w:r>
        <w:rPr>
          <w:rFonts w:ascii="微软雅黑" w:hAnsi="微软雅黑" w:eastAsia="微软雅黑"/>
          <w:b w:val="0"/>
          <w:color w:val="14253D"/>
          <w:sz w:val="21"/>
        </w:rPr>
        <w:t>市场部盯转化链路的体验断点、客服部盯服务满意度、研发部盯性能——同一条用户体验，三个断面。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b/>
                <w:color w:val="14253D"/>
                <w:sz w:val="18"/>
              </w:rPr>
              <w:t>来源文档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/>
                <w:color w:val="14253D"/>
                <w:sz w:val="18"/>
              </w:rPr>
              <w:t>该文档的证据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/>
                <w:color w:val="14253D"/>
                <w:sz w:val="18"/>
              </w:rPr>
              <w:t>原文片段（可回溯）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14253D"/>
                <w:sz w:val="17"/>
              </w:rPr>
              <w:t>市场部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14253D"/>
                <w:sz w:val="17"/>
              </w:rPr>
              <w:t>转化链路 / 体验一致性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14253D"/>
                <w:sz w:val="17"/>
              </w:rPr>
              <w:t>私域转化链路偏长，用户流失集中在后半段，体验一致性不足。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14253D"/>
                <w:sz w:val="17"/>
              </w:rPr>
              <w:t>客服部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14253D"/>
                <w:sz w:val="17"/>
              </w:rPr>
              <w:t>CSAT 93% / NPS 42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14253D"/>
                <w:sz w:val="17"/>
              </w:rPr>
              <w:t>客户满意度 CSAT 由 88% 提升至 93%；净推荐值 NPS 由 31 提升至 42。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14253D"/>
                <w:sz w:val="17"/>
              </w:rPr>
              <w:t>研发部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14253D"/>
                <w:sz w:val="17"/>
              </w:rPr>
              <w:t>P95 延迟 420→210ms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14253D"/>
                <w:sz w:val="17"/>
              </w:rPr>
              <w:t>核心接口 P95 延迟由 420ms 降至 210ms。</w:t>
            </w:r>
          </w:p>
        </w:tc>
      </w:tr>
    </w:tbl>
    <w:p>
      <w:pPr>
        <w:spacing w:after="60" w:before="120" w:line="276" w:lineRule="auto"/>
      </w:pPr>
      <w:r>
        <w:rPr>
          <w:rFonts w:ascii="微软雅黑" w:hAnsi="微软雅黑" w:eastAsia="微软雅黑"/>
          <w:b/>
          <w:color w:val="2F81F7"/>
          <w:sz w:val="21"/>
        </w:rPr>
        <w:t xml:space="preserve">★ </w:t>
      </w:r>
      <w:r>
        <w:rPr>
          <w:rFonts w:ascii="微软雅黑" w:hAnsi="微软雅黑" w:eastAsia="微软雅黑"/>
          <w:b/>
          <w:color w:val="14253D"/>
          <w:sz w:val="22"/>
        </w:rPr>
        <w:t>主题 3：降本增效 / 人效提升是共同考核方向</w:t>
      </w:r>
    </w:p>
    <w:p>
      <w:pPr>
        <w:spacing w:after="100" w:before="0" w:line="276" w:lineRule="auto"/>
        <w:ind w:left="227"/>
      </w:pPr>
      <w:r>
        <w:rPr>
          <w:rFonts w:ascii="微软雅黑" w:hAnsi="微软雅黑" w:eastAsia="微软雅黑"/>
          <w:b/>
          <w:color w:val="5B6B7F"/>
          <w:sz w:val="21"/>
        </w:rPr>
        <w:t>综合判断：</w:t>
      </w:r>
      <w:r>
        <w:rPr>
          <w:rFonts w:ascii="微软雅黑" w:hAnsi="微软雅黑" w:eastAsia="微软雅黑"/>
          <w:b w:val="0"/>
          <w:color w:val="14253D"/>
          <w:sz w:val="21"/>
        </w:rPr>
        <w:t>三部门都用「单位成本 / 单位产出」衡量 Q3：市场部看获客成本、客服部看单人人效、研发部看交付率。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b/>
                <w:color w:val="14253D"/>
                <w:sz w:val="18"/>
              </w:rPr>
              <w:t>来源文档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/>
                <w:color w:val="14253D"/>
                <w:sz w:val="18"/>
              </w:rPr>
              <w:t>该文档的证据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/>
                <w:color w:val="14253D"/>
                <w:sz w:val="18"/>
              </w:rPr>
              <w:t>原文片段（可回溯）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14253D"/>
                <w:sz w:val="17"/>
              </w:rPr>
              <w:t>市场部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14253D"/>
                <w:sz w:val="17"/>
              </w:rPr>
              <w:t>CAC -29%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14253D"/>
                <w:sz w:val="17"/>
              </w:rPr>
              <w:t>获客成本（CAC）由 86 元降至 61 元，下降 29%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14253D"/>
                <w:sz w:val="17"/>
              </w:rPr>
              <w:t>客服部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14253D"/>
                <w:sz w:val="17"/>
              </w:rPr>
              <w:t>人效 78→105 单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14253D"/>
                <w:sz w:val="17"/>
              </w:rPr>
              <w:t>单人日均处理量由 78 单提升至 105 单。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14253D"/>
                <w:sz w:val="17"/>
              </w:rPr>
              <w:t>研发部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14253D"/>
                <w:sz w:val="17"/>
              </w:rPr>
              <w:t>按期交付率 94%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14253D"/>
                <w:sz w:val="17"/>
              </w:rPr>
              <w:t>需求按期交付率由 86% 提升至 94%。</w:t>
            </w:r>
          </w:p>
        </w:tc>
      </w:tr>
    </w:tbl>
    <w:p>
      <w:pPr>
        <w:spacing w:after="60" w:before="120" w:line="276" w:lineRule="auto"/>
      </w:pPr>
      <w:r>
        <w:rPr>
          <w:rFonts w:ascii="微软雅黑" w:hAnsi="微软雅黑" w:eastAsia="微软雅黑"/>
          <w:b/>
          <w:color w:val="2F81F7"/>
          <w:sz w:val="21"/>
        </w:rPr>
        <w:t xml:space="preserve">★ </w:t>
      </w:r>
      <w:r>
        <w:rPr>
          <w:rFonts w:ascii="微软雅黑" w:hAnsi="微软雅黑" w:eastAsia="微软雅黑"/>
          <w:b/>
          <w:color w:val="14253D"/>
          <w:sz w:val="22"/>
        </w:rPr>
        <w:t>主题 4：「数据驱动」普遍落地为自建看板 + 定期复盘机制</w:t>
      </w:r>
    </w:p>
    <w:p>
      <w:pPr>
        <w:spacing w:after="100" w:before="0" w:line="276" w:lineRule="auto"/>
        <w:ind w:left="227"/>
      </w:pPr>
      <w:r>
        <w:rPr>
          <w:rFonts w:ascii="微软雅黑" w:hAnsi="微软雅黑" w:eastAsia="微软雅黑"/>
          <w:b/>
          <w:color w:val="5B6B7F"/>
          <w:sz w:val="21"/>
        </w:rPr>
        <w:t>综合判断：</w:t>
      </w:r>
      <w:r>
        <w:rPr>
          <w:rFonts w:ascii="微软雅黑" w:hAnsi="微软雅黑" w:eastAsia="微软雅黑"/>
          <w:b w:val="0"/>
          <w:color w:val="14253D"/>
          <w:sz w:val="21"/>
        </w:rPr>
        <w:t>三部门各自建了看板并定了复盘节奏，说明数据驱动已从口号变成日常动作。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b/>
                <w:color w:val="14253D"/>
                <w:sz w:val="18"/>
              </w:rPr>
              <w:t>来源文档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/>
                <w:color w:val="14253D"/>
                <w:sz w:val="18"/>
              </w:rPr>
              <w:t>该文档的证据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/>
                <w:color w:val="14253D"/>
                <w:sz w:val="18"/>
              </w:rPr>
              <w:t>原文片段（可回溯）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14253D"/>
                <w:sz w:val="17"/>
              </w:rPr>
              <w:t>市场部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14253D"/>
                <w:sz w:val="17"/>
              </w:rPr>
              <w:t>投放归因看板（日复盘）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14253D"/>
                <w:sz w:val="17"/>
              </w:rPr>
              <w:t>建立投放归因看板，每日复盘各渠道投放数据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14253D"/>
                <w:sz w:val="17"/>
              </w:rPr>
              <w:t>客服部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14253D"/>
                <w:sz w:val="17"/>
              </w:rPr>
              <w:t>问题分类看板（周复盘）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14253D"/>
                <w:sz w:val="17"/>
              </w:rPr>
              <w:t>建立问题分类看板，按周复盘 Top 问题并反哺知识库。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14253D"/>
                <w:sz w:val="17"/>
              </w:rPr>
              <w:t>研发部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14253D"/>
                <w:sz w:val="17"/>
              </w:rPr>
              <w:t>研发效能看板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14253D"/>
                <w:sz w:val="17"/>
              </w:rPr>
              <w:t>建立研发效能看板，跟踪需求交付、故障与延迟指标。</w:t>
            </w:r>
          </w:p>
        </w:tc>
      </w:tr>
    </w:tbl>
    <w:p>
      <w:pPr>
        <w:spacing w:after="120" w:before="240" w:line="276" w:lineRule="auto"/>
      </w:pPr>
      <w:r>
        <w:rPr>
          <w:rFonts w:ascii="微软雅黑" w:hAnsi="微软雅黑" w:eastAsia="微软雅黑"/>
          <w:b/>
          <w:color w:val="2F81F7"/>
          <w:sz w:val="26"/>
        </w:rPr>
        <w:t>二、差异点（各文档侧重不同之处）</w:t>
      </w:r>
    </w:p>
    <w:p>
      <w:pPr>
        <w:spacing w:after="80" w:before="0" w:line="276" w:lineRule="auto"/>
        <w:ind w:left="113"/>
      </w:pPr>
      <w:r>
        <w:rPr>
          <w:rFonts w:ascii="微软雅黑" w:hAnsi="微软雅黑" w:eastAsia="微软雅黑"/>
          <w:b/>
          <w:color w:val="2F81F7"/>
          <w:sz w:val="21"/>
        </w:rPr>
        <w:t xml:space="preserve">• </w:t>
      </w:r>
      <w:r>
        <w:rPr>
          <w:rFonts w:ascii="微软雅黑" w:hAnsi="微软雅黑" w:eastAsia="微软雅黑"/>
          <w:b/>
          <w:color w:val="14253D"/>
          <w:sz w:val="21"/>
        </w:rPr>
        <w:t>市场部</w:t>
      </w:r>
      <w:r>
        <w:rPr>
          <w:rFonts w:ascii="微软雅黑" w:hAnsi="微软雅黑" w:eastAsia="微软雅黑"/>
          <w:b w:val="0"/>
          <w:color w:val="14253D"/>
          <w:sz w:val="21"/>
        </w:rPr>
        <w:t xml:space="preserve"> 侧重：增长与投放效率。</w:t>
      </w:r>
      <w:r>
        <w:rPr>
          <w:rFonts w:ascii="微软雅黑" w:hAnsi="微软雅黑" w:eastAsia="微软雅黑"/>
          <w:b w:val="0"/>
          <w:color w:val="14253D"/>
          <w:sz w:val="21"/>
        </w:rPr>
        <w:t>关注曝光、投放 ROI、CAC 与私域转化；AI 主要作为</w:t>
      </w:r>
      <w:r>
        <w:rPr>
          <w:rFonts w:ascii="微软雅黑" w:hAnsi="微软雅黑" w:eastAsia="微软雅黑"/>
          <w:b/>
          <w:color w:val="14253D"/>
          <w:sz w:val="21"/>
        </w:rPr>
        <w:t>内容生产与投放优化工具</w:t>
      </w:r>
      <w:r>
        <w:rPr>
          <w:rFonts w:ascii="微软雅黑" w:hAnsi="微软雅黑" w:eastAsia="微软雅黑"/>
          <w:b w:val="0"/>
          <w:color w:val="14253D"/>
          <w:sz w:val="21"/>
        </w:rPr>
        <w:t>。</w:t>
      </w:r>
    </w:p>
    <w:p>
      <w:pPr>
        <w:spacing w:after="120" w:before="0" w:line="276" w:lineRule="auto"/>
        <w:ind w:left="340"/>
      </w:pPr>
      <w:r>
        <w:rPr>
          <w:rFonts w:ascii="微软雅黑" w:hAnsi="微软雅黑" w:eastAsia="微软雅黑"/>
          <w:b w:val="0"/>
          <w:color w:val="5B6B7F"/>
          <w:sz w:val="18"/>
        </w:rPr>
        <w:t>（依据：投放 ROI 由 Q2 的 2.1 提升至 Q3 的 3.0）</w:t>
      </w:r>
    </w:p>
    <w:p>
      <w:pPr>
        <w:spacing w:after="80" w:before="0" w:line="276" w:lineRule="auto"/>
        <w:ind w:left="113"/>
      </w:pPr>
      <w:r>
        <w:rPr>
          <w:rFonts w:ascii="微软雅黑" w:hAnsi="微软雅黑" w:eastAsia="微软雅黑"/>
          <w:b/>
          <w:color w:val="2F81F7"/>
          <w:sz w:val="21"/>
        </w:rPr>
        <w:t xml:space="preserve">• </w:t>
      </w:r>
      <w:r>
        <w:rPr>
          <w:rFonts w:ascii="微软雅黑" w:hAnsi="微软雅黑" w:eastAsia="微软雅黑"/>
          <w:b/>
          <w:color w:val="14253D"/>
          <w:sz w:val="21"/>
        </w:rPr>
        <w:t>客服部</w:t>
      </w:r>
      <w:r>
        <w:rPr>
          <w:rFonts w:ascii="微软雅黑" w:hAnsi="微软雅黑" w:eastAsia="微软雅黑"/>
          <w:b w:val="0"/>
          <w:color w:val="14253D"/>
          <w:sz w:val="21"/>
        </w:rPr>
        <w:t xml:space="preserve"> 侧重：服务时效与满意度。</w:t>
      </w:r>
      <w:r>
        <w:rPr>
          <w:rFonts w:ascii="微软雅黑" w:hAnsi="微软雅黑" w:eastAsia="微软雅黑"/>
          <w:b w:val="0"/>
          <w:color w:val="14253D"/>
          <w:sz w:val="21"/>
        </w:rPr>
        <w:t>关注响应时长、CSAT/NPS 与人效；AI 主要作为</w:t>
      </w:r>
      <w:r>
        <w:rPr>
          <w:rFonts w:ascii="微软雅黑" w:hAnsi="微软雅黑" w:eastAsia="微软雅黑"/>
          <w:b/>
          <w:color w:val="14253D"/>
          <w:sz w:val="21"/>
        </w:rPr>
        <w:t>服务前台</w:t>
      </w:r>
      <w:r>
        <w:rPr>
          <w:rFonts w:ascii="微软雅黑" w:hAnsi="微软雅黑" w:eastAsia="微软雅黑"/>
          <w:b w:val="0"/>
          <w:color w:val="14253D"/>
          <w:sz w:val="21"/>
        </w:rPr>
        <w:t>（智能应答 + 全量质检）。</w:t>
      </w:r>
    </w:p>
    <w:p>
      <w:pPr>
        <w:spacing w:after="120" w:before="0" w:line="276" w:lineRule="auto"/>
        <w:ind w:left="340"/>
      </w:pPr>
      <w:r>
        <w:rPr>
          <w:rFonts w:ascii="微软雅黑" w:hAnsi="微软雅黑" w:eastAsia="微软雅黑"/>
          <w:b w:val="0"/>
          <w:color w:val="5B6B7F"/>
          <w:sz w:val="18"/>
        </w:rPr>
        <w:t>（依据：平均首次响应时长由 96 秒降至 28 秒）</w:t>
      </w:r>
    </w:p>
    <w:p>
      <w:pPr>
        <w:spacing w:after="80" w:before="0" w:line="276" w:lineRule="auto"/>
        <w:ind w:left="113"/>
      </w:pPr>
      <w:r>
        <w:rPr>
          <w:rFonts w:ascii="微软雅黑" w:hAnsi="微软雅黑" w:eastAsia="微软雅黑"/>
          <w:b/>
          <w:color w:val="2F81F7"/>
          <w:sz w:val="21"/>
        </w:rPr>
        <w:t xml:space="preserve">• </w:t>
      </w:r>
      <w:r>
        <w:rPr>
          <w:rFonts w:ascii="微软雅黑" w:hAnsi="微软雅黑" w:eastAsia="微软雅黑"/>
          <w:b/>
          <w:color w:val="14253D"/>
          <w:sz w:val="21"/>
        </w:rPr>
        <w:t>研发部</w:t>
      </w:r>
      <w:r>
        <w:rPr>
          <w:rFonts w:ascii="微软雅黑" w:hAnsi="微软雅黑" w:eastAsia="微软雅黑"/>
          <w:b w:val="0"/>
          <w:color w:val="14253D"/>
          <w:sz w:val="21"/>
        </w:rPr>
        <w:t xml:space="preserve"> 侧重：交付稳定性与能力建设。</w:t>
      </w:r>
      <w:r>
        <w:rPr>
          <w:rFonts w:ascii="微软雅黑" w:hAnsi="微软雅黑" w:eastAsia="微软雅黑"/>
          <w:b w:val="0"/>
          <w:color w:val="14253D"/>
          <w:sz w:val="21"/>
        </w:rPr>
        <w:t>关注交付率、故障、延迟与技术债；AI 既是</w:t>
      </w:r>
      <w:r>
        <w:rPr>
          <w:rFonts w:ascii="微软雅黑" w:hAnsi="微软雅黑" w:eastAsia="微软雅黑"/>
          <w:b/>
          <w:color w:val="14253D"/>
          <w:sz w:val="21"/>
        </w:rPr>
        <w:t>内部提效工具</w:t>
      </w:r>
      <w:r>
        <w:rPr>
          <w:rFonts w:ascii="微软雅黑" w:hAnsi="微软雅黑" w:eastAsia="微软雅黑"/>
          <w:b w:val="0"/>
          <w:color w:val="14253D"/>
          <w:sz w:val="21"/>
        </w:rPr>
        <w:t>，也是</w:t>
      </w:r>
      <w:r>
        <w:rPr>
          <w:rFonts w:ascii="微软雅黑" w:hAnsi="微软雅黑" w:eastAsia="微软雅黑"/>
          <w:b/>
          <w:color w:val="14253D"/>
          <w:sz w:val="21"/>
        </w:rPr>
        <w:t>对外开放的能力底座</w:t>
      </w:r>
      <w:r>
        <w:rPr>
          <w:rFonts w:ascii="微软雅黑" w:hAnsi="微软雅黑" w:eastAsia="微软雅黑"/>
          <w:b w:val="0"/>
          <w:color w:val="14253D"/>
          <w:sz w:val="21"/>
        </w:rPr>
        <w:t>。</w:t>
      </w:r>
    </w:p>
    <w:p>
      <w:pPr>
        <w:spacing w:after="120" w:before="0" w:line="276" w:lineRule="auto"/>
        <w:ind w:left="340"/>
      </w:pPr>
      <w:r>
        <w:rPr>
          <w:rFonts w:ascii="微软雅黑" w:hAnsi="微软雅黑" w:eastAsia="微软雅黑"/>
          <w:b w:val="0"/>
          <w:color w:val="5B6B7F"/>
          <w:sz w:val="18"/>
        </w:rPr>
        <w:t>（依据：线上 P0/P1 故障由 Q2 的 5 起降至 1 起）</w:t>
      </w:r>
    </w:p>
    <w:p>
      <w:pPr>
        <w:spacing w:after="120" w:before="240" w:line="276" w:lineRule="auto"/>
      </w:pPr>
      <w:r>
        <w:rPr>
          <w:rFonts w:ascii="微软雅黑" w:hAnsi="微软雅黑" w:eastAsia="微软雅黑"/>
          <w:b/>
          <w:color w:val="2F81F7"/>
          <w:sz w:val="26"/>
        </w:rPr>
        <w:t>三、结论与建议</w:t>
      </w:r>
    </w:p>
    <w:p>
      <w:pPr>
        <w:spacing w:after="100" w:before="0" w:line="276" w:lineRule="auto"/>
        <w:ind w:left="113"/>
      </w:pPr>
      <w:r>
        <w:rPr>
          <w:rFonts w:ascii="微软雅黑" w:hAnsi="微软雅黑" w:eastAsia="微软雅黑"/>
          <w:b/>
          <w:color w:val="2F81F7"/>
          <w:sz w:val="21"/>
        </w:rPr>
        <w:t xml:space="preserve">1. </w:t>
      </w:r>
      <w:r>
        <w:rPr>
          <w:rFonts w:ascii="微软雅黑" w:hAnsi="微软雅黑" w:eastAsia="微软雅黑"/>
          <w:b w:val="0"/>
          <w:color w:val="14253D"/>
          <w:sz w:val="21"/>
        </w:rPr>
        <w:t>四条共同主题指向同一判断：</w:t>
      </w:r>
      <w:r>
        <w:rPr>
          <w:rFonts w:ascii="微软雅黑" w:hAnsi="微软雅黑" w:eastAsia="微软雅黑"/>
          <w:b/>
          <w:color w:val="14253D"/>
          <w:sz w:val="21"/>
        </w:rPr>
        <w:t>AI 已在三部门真实产生业务价值</w:t>
      </w:r>
      <w:r>
        <w:rPr>
          <w:rFonts w:ascii="微软雅黑" w:hAnsi="微软雅黑" w:eastAsia="微软雅黑"/>
          <w:b w:val="0"/>
          <w:color w:val="14253D"/>
          <w:sz w:val="21"/>
        </w:rPr>
        <w:t>，下阶段的关键不再是「要不要用」，而是「如何用好、如何不重复建」。</w:t>
      </w:r>
    </w:p>
    <w:p>
      <w:pPr>
        <w:spacing w:after="100" w:before="0" w:line="276" w:lineRule="auto"/>
        <w:ind w:left="113"/>
      </w:pPr>
      <w:r>
        <w:rPr>
          <w:rFonts w:ascii="微软雅黑" w:hAnsi="微软雅黑" w:eastAsia="微软雅黑"/>
          <w:b/>
          <w:color w:val="2F81F7"/>
          <w:sz w:val="21"/>
        </w:rPr>
        <w:t xml:space="preserve">2. </w:t>
      </w:r>
      <w:r>
        <w:rPr>
          <w:rFonts w:ascii="微软雅黑" w:hAnsi="微软雅黑" w:eastAsia="微软雅黑"/>
          <w:b w:val="0"/>
          <w:color w:val="14253D"/>
          <w:sz w:val="21"/>
        </w:rPr>
        <w:t>研发部自陈的「AI 能力缺少统一治理、各业务线存在重复建设」，正好解释了为什么市场部/客服部的 AI 应用可能会各自为战——</w:t>
      </w:r>
      <w:r>
        <w:rPr>
          <w:rFonts w:ascii="微软雅黑" w:hAnsi="微软雅黑" w:eastAsia="微软雅黑"/>
          <w:b/>
          <w:color w:val="14253D"/>
          <w:sz w:val="21"/>
        </w:rPr>
        <w:t>统一治理是共同主题的必然下一步</w:t>
      </w:r>
      <w:r>
        <w:rPr>
          <w:rFonts w:ascii="微软雅黑" w:hAnsi="微软雅黑" w:eastAsia="微软雅黑"/>
          <w:b w:val="0"/>
          <w:color w:val="14253D"/>
          <w:sz w:val="21"/>
        </w:rPr>
        <w:t>。</w:t>
      </w:r>
    </w:p>
    <w:p>
      <w:pPr>
        <w:spacing w:after="100" w:before="0" w:line="276" w:lineRule="auto"/>
        <w:ind w:left="113"/>
      </w:pPr>
      <w:r>
        <w:rPr>
          <w:rFonts w:ascii="微软雅黑" w:hAnsi="微软雅黑" w:eastAsia="微软雅黑"/>
          <w:b/>
          <w:color w:val="2F81F7"/>
          <w:sz w:val="21"/>
        </w:rPr>
        <w:t xml:space="preserve">3. </w:t>
      </w:r>
      <w:r>
        <w:rPr>
          <w:rFonts w:ascii="微软雅黑" w:hAnsi="微软雅黑" w:eastAsia="微软雅黑"/>
          <w:b w:val="0"/>
          <w:color w:val="14253D"/>
          <w:sz w:val="21"/>
        </w:rPr>
        <w:t>三个部门的「体验问题」（市场部转化链路、客服部 AI→人工断点、研发部性能）</w:t>
      </w:r>
      <w:r>
        <w:rPr>
          <w:rFonts w:ascii="微软雅黑" w:hAnsi="微软雅黑" w:eastAsia="微软雅黑"/>
          <w:b/>
          <w:color w:val="14253D"/>
          <w:sz w:val="21"/>
        </w:rPr>
        <w:t>是同一条用户体验旅程的三个断面</w:t>
      </w:r>
      <w:r>
        <w:rPr>
          <w:rFonts w:ascii="微软雅黑" w:hAnsi="微软雅黑" w:eastAsia="微软雅黑"/>
          <w:b w:val="0"/>
          <w:color w:val="14253D"/>
          <w:sz w:val="21"/>
        </w:rPr>
        <w:t>，应合并看、打通看。</w:t>
      </w:r>
    </w:p>
    <w:p>
      <w:pPr>
        <w:spacing w:after="100" w:before="0" w:line="276" w:lineRule="auto"/>
        <w:ind w:left="113"/>
      </w:pPr>
      <w:r>
        <w:rPr>
          <w:rFonts w:ascii="微软雅黑" w:hAnsi="微软雅黑" w:eastAsia="微软雅黑"/>
          <w:b/>
          <w:color w:val="2F81F7"/>
          <w:sz w:val="21"/>
        </w:rPr>
        <w:t xml:space="preserve">4. </w:t>
      </w:r>
      <w:r>
        <w:rPr>
          <w:rFonts w:ascii="微软雅黑" w:hAnsi="微软雅黑" w:eastAsia="微软雅黑"/>
          <w:b w:val="0"/>
          <w:color w:val="14253D"/>
          <w:sz w:val="21"/>
        </w:rPr>
        <w:t>三家各自建了看板，说明数据驱动已落地，但</w:t>
      </w:r>
      <w:r>
        <w:rPr>
          <w:rFonts w:ascii="微软雅黑" w:hAnsi="微软雅黑" w:eastAsia="微软雅黑"/>
          <w:b/>
          <w:color w:val="14253D"/>
          <w:sz w:val="21"/>
        </w:rPr>
        <w:t>口径分散、未打通</w:t>
      </w:r>
      <w:r>
        <w:rPr>
          <w:rFonts w:ascii="微软雅黑" w:hAnsi="微软雅黑" w:eastAsia="微软雅黑"/>
          <w:b w:val="0"/>
          <w:color w:val="14253D"/>
          <w:sz w:val="21"/>
        </w:rPr>
        <w:t>——建议统一指标口径，让「共同主题」可被持续监控。</w:t>
      </w:r>
    </w:p>
    <w:p>
      <w:pPr>
        <w:spacing w:after="100" w:before="120" w:line="276" w:lineRule="auto"/>
      </w:pPr>
      <w:r>
        <w:rPr>
          <w:rFonts w:ascii="微软雅黑" w:hAnsi="微软雅黑" w:eastAsia="微软雅黑"/>
          <w:b/>
          <w:color w:val="5B6B7F"/>
          <w:sz w:val="21"/>
        </w:rPr>
        <w:t>跨部门协同建议：</w:t>
      </w:r>
      <w:r>
        <w:rPr>
          <w:rFonts w:ascii="微软雅黑" w:hAnsi="微软雅黑" w:eastAsia="微软雅黑"/>
          <w:b w:val="0"/>
          <w:color w:val="14253D"/>
          <w:sz w:val="21"/>
        </w:rPr>
        <w:t>建议下季度以「</w:t>
      </w:r>
      <w:r>
        <w:rPr>
          <w:rFonts w:ascii="微软雅黑" w:hAnsi="微软雅黑" w:eastAsia="微软雅黑"/>
          <w:b/>
          <w:color w:val="14253D"/>
          <w:sz w:val="21"/>
        </w:rPr>
        <w:t>AI 能力统一治理 + 全链路体验 + 数据打通</w:t>
      </w:r>
      <w:r>
        <w:rPr>
          <w:rFonts w:ascii="微软雅黑" w:hAnsi="微软雅黑" w:eastAsia="微软雅黑"/>
          <w:b w:val="0"/>
          <w:color w:val="14253D"/>
          <w:sz w:val="21"/>
        </w:rPr>
        <w:t>」三项跨部门协同为抓手，由研发部牵头 AI 能力治理、市场部与服务部共建体验、三方统一数据口径。</w:t>
      </w:r>
    </w:p>
    <w:p>
      <w:pPr>
        <w:spacing w:after="80" w:before="240" w:line="276" w:lineRule="auto"/>
      </w:pPr>
      <w:r>
        <w:rPr>
          <w:rFonts w:ascii="微软雅黑" w:hAnsi="微软雅黑" w:eastAsia="微软雅黑"/>
          <w:b/>
          <w:color w:val="5B6B7F"/>
          <w:sz w:val="22"/>
        </w:rPr>
        <w:t>附：来源索引</w:t>
      </w:r>
    </w:p>
    <w:p>
      <w:pPr>
        <w:spacing w:after="60" w:before="0" w:line="276" w:lineRule="auto"/>
      </w:pPr>
      <w:r>
        <w:rPr>
          <w:rFonts w:ascii="微软雅黑" w:hAnsi="微软雅黑" w:eastAsia="微软雅黑"/>
          <w:b w:val="0"/>
          <w:color w:val="5B6B7F"/>
          <w:sz w:val="18"/>
        </w:rPr>
        <w:t>市场部（周敏）：市场部_2026Q3季度总结.docx　·　引用：产出量提升 220%；CAC 下降 29%；投放 ROI 3.0</w:t>
      </w:r>
    </w:p>
    <w:p>
      <w:pPr>
        <w:spacing w:after="60" w:before="0" w:line="276" w:lineRule="auto"/>
      </w:pPr>
      <w:r>
        <w:rPr>
          <w:rFonts w:ascii="微软雅黑" w:hAnsi="微软雅黑" w:eastAsia="微软雅黑"/>
          <w:b w:val="0"/>
          <w:color w:val="5B6B7F"/>
          <w:sz w:val="18"/>
        </w:rPr>
        <w:t>客服部（孙涛）：客服部_2026Q3季度总结.docx　·　引用：AI 独立解决率 46%；CSAT 93% / NPS 42；响应 96→28 秒</w:t>
      </w:r>
    </w:p>
    <w:p>
      <w:pPr>
        <w:spacing w:after="60" w:before="0" w:line="276" w:lineRule="auto"/>
      </w:pPr>
      <w:r>
        <w:rPr>
          <w:rFonts w:ascii="微软雅黑" w:hAnsi="微软雅黑" w:eastAsia="微软雅黑"/>
          <w:b w:val="0"/>
          <w:color w:val="5B6B7F"/>
          <w:sz w:val="18"/>
        </w:rPr>
        <w:t>研发部（郑凯）：研发部_2026Q3季度总结.docx　·　引用：交付率 94%；P95 420→210ms；大模型接口 5 场景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