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дальнейшего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начала порождать общество всё более абстрагируемое от её механизма, всё более спящее, и напоминающее больше зрителя,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своих внутренних интересов, направленных на пользователей, тем самым инвертируя способ взаимодействия с ними. При выстроенном императиве, система начала образовывать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стал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движения моделей</w:t>
      </w:r>
      <w:r>
        <w:rPr>
          <w:rFonts w:ascii="Times New Roman" w:hAnsi="Times New Roman" w:cs="Times New Roman" w:eastAsia="Times New Roman"/>
          <w:b/>
          <w:sz w:val="28"/>
          <w:szCs w:val="24"/>
          <w:highlight w:val="none"/>
        </w:rPr>
      </w:r>
      <w:bookmarkStart w:id="34" w:name="Сетевые_архитектуры_и_движения_моделей"/>
      <w:r>
        <w:rPr>
          <w:rFonts w:ascii="Times New Roman" w:hAnsi="Times New Roman" w:cs="Times New Roman" w:eastAsia="Times New Roman"/>
          <w:b/>
          <w:sz w:val="28"/>
          <w:szCs w:val="24"/>
          <w:highlight w:val="none"/>
        </w:rPr>
      </w:r>
      <w:bookmarkEnd w:id="34"/>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r>
      <w:r>
        <w:rPr>
          <w:rFonts w:ascii="Times New Roman" w:hAnsi="Times New Roman" w:cs="Times New Roman" w:eastAsia="Times New Roman"/>
          <w:b w:val="0"/>
          <w:i w:val="0"/>
          <w:position w:val="0"/>
          <w:sz w:val="24"/>
          <w:szCs w:val="24"/>
          <w:highlight w:val="none"/>
          <w:vertAlign w:val="baseli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5051" name="Изображение4" descr="" hidden="0"/>
                        <pic:cNvPicPr>
                          <a:picLocks noChangeAspect="1"/>
                        </pic:cNvPicPr>
                        <pic:nvPr isPhoto="0" userDrawn="0"/>
                      </pic:nvPicPr>
                      <pic:blipFill>
                        <a:blip r:embed="rId15"/>
                        <a:stretch/>
                      </pic:blipFill>
                      <pic:spPr bwMode="auto">
                        <a:xfrm flipH="0" flipV="0">
                          <a:off x="0" y="0"/>
                          <a:ext cx="3098236" cy="21491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firstLine="0"/>
        <w:jc w:val="both"/>
        <w:spacing w:before="0" w:after="0"/>
        <w:rPr>
          <w:rFonts w:ascii="Times New Roman" w:hAnsi="Times New Roman" w:cs="Times New Roman" w:eastAsia="Times New Roman"/>
          <w:b w:val="0"/>
          <w:i w:val="0"/>
          <w:position w:val="0"/>
          <w:sz w:val="24"/>
          <w:szCs w:val="24"/>
          <w:highlight w:val="none"/>
          <w:vertAlign w:val="baseline"/>
        </w:rPr>
      </w:pPr>
      <w:r>
        <w:rPr>
          <w:highlight w:val="none"/>
        </w:rPr>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в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будет представлять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становится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становится неспособным со 100% уверенностью определить, что последний узел, отпраляющий пакет, является тем самым истинным получателем сообщения.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3081" name="" hidden="0"/>
                        <pic:cNvPicPr>
                          <a:picLocks noChangeAspect="1"/>
                        </pic:cNvPicPr>
                        <pic:nvPr isPhoto="0" userDrawn="0"/>
                      </pic:nvPicPr>
                      <pic:blipFill>
                        <a:blip r:embed="rId16"/>
                        <a:stretch/>
                      </pic:blipFill>
                      <pic:spPr bwMode="auto">
                        <a:xfrm flipH="0" flipV="0">
                          <a:off x="0" y="0"/>
                          <a:ext cx="4007548"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5.6pt;height:196.3pt;" stroked="false">
                <v:path textboxrect="0,0,0,0"/>
                <v:imagedata r:id="rId16" o:title=""/>
              </v:shape>
            </w:pict>
          </mc:Fallback>
        </mc:AlternateContent>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w:t>
      </w:r>
      <w:r>
        <w:rPr>
          <w:rFonts w:ascii="Times New Roman" w:hAnsi="Times New Roman" w:cs="Times New Roman" w:eastAsia="Times New Roman"/>
          <w:sz w:val="24"/>
          <w:szCs w:val="24"/>
          <w:highlight w:val="none"/>
        </w:rPr>
        <w:t xml:space="preserve">ет</w:t>
      </w:r>
      <w:r>
        <w:rPr>
          <w:rFonts w:ascii="Times New Roman" w:hAnsi="Times New Roman" w:cs="Times New Roman" w:eastAsia="Times New Roman"/>
          <w:sz w:val="24"/>
          <w:szCs w:val="24"/>
          <w:highlight w:val="none"/>
        </w:rPr>
        <w:t xml:space="preserve">ся на данную задачу, делая её анализ не таким примитивным и тривиальным. </w:t>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потому как все остальные (приведённые выше) проблемы являются решаемыми, податливыми и вполне искоренимыми.</w:t>
      </w:r>
      <w:r>
        <w:rPr>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81"/>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405" name="Изображение5" descr="" hidden="0"/>
                        <pic:cNvPicPr>
                          <a:picLocks noChangeAspect="1"/>
                        </pic:cNvPicPr>
                        <pic:nvPr isPhoto="0" userDrawn="0"/>
                      </pic:nvPicPr>
                      <pic:blipFill>
                        <a:blip r:embed="rId18"/>
                        <a:stretch/>
                      </pic:blipFill>
                      <pic:spPr bwMode="auto">
                        <a:xfrm flipH="0" flipV="0">
                          <a:off x="0" y="0"/>
                          <a:ext cx="3667158" cy="2046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8.8pt;height:161.2pt;" stroked="false">
                <v:path textboxrect="0,0,0,0"/>
                <v:imagedata r:id="rId18"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02558" name="" hidden="0"/>
                        <pic:cNvPicPr>
                          <a:picLocks noChangeAspect="1"/>
                        </pic:cNvPicPr>
                        <pic:nvPr isPhoto="0" userDrawn="0"/>
                      </pic:nvPicPr>
                      <pic:blipFill>
                        <a:blip r:embed="rId19"/>
                        <a:stretch/>
                      </pic:blipFill>
                      <pic:spPr bwMode="auto">
                        <a:xfrm flipH="0" flipV="0">
                          <a:off x="0" y="0"/>
                          <a:ext cx="4679172" cy="316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68.4pt;height:249.5pt;" stroked="false">
                <v:path textboxrect="0,0,0,0"/>
                <v:imagedata r:id="rId19"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1"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0"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9"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www.schneier.com/essays/archives/2009/11/beyond_security_thea.html" TargetMode="External"/><Relationship Id="rId22" Type="http://schemas.openxmlformats.org/officeDocument/2006/relationships/hyperlink" Target="https://cyberleninka.ru/article/n/utrata-anonimnosti-v-vek-razvitiya-tsifrovyh-tehnologiy" TargetMode="External"/><Relationship Id="rId23" Type="http://schemas.openxmlformats.org/officeDocument/2006/relationships/hyperlink" Target="https://cyberleninka.ru/article/n/anonimnost-v-globalnyh-setyah" TargetMode="External"/><Relationship Id="rId24" Type="http://schemas.openxmlformats.org/officeDocument/2006/relationships/hyperlink" Target="https://cyberleninka.ru/article/n/k-voprosu-o-mitm-atake-kak-sposobe-soversheniya-prestupleniy-v-sfere-kompyuternoy-informatsii" TargetMode="External"/><Relationship Id="rId25" Type="http://schemas.openxmlformats.org/officeDocument/2006/relationships/hyperlink" Target="https://cyberleninka.ru/article/n/k-voprosu-o-bezopasnom-shifrovanii-v-internet-messendzherah" TargetMode="External"/><Relationship Id="rId26" Type="http://schemas.openxmlformats.org/officeDocument/2006/relationships/hyperlink" Target="https://cyberleninka.ru/article/n/analiz-sposobov-i-metodov-nezakonnogo-rasprostraneniya-lichnyh-dannyh-polzovateley-messendzherov-sotsialnyh-setey-i-poiskovyh-sistem" TargetMode="External"/><Relationship Id="rId27" Type="http://schemas.openxmlformats.org/officeDocument/2006/relationships/hyperlink" Target="https://ee.stanford.edu/~hellman/publications/24.pdf" TargetMode="External"/><Relationship Id="rId28" Type="http://schemas.openxmlformats.org/officeDocument/2006/relationships/hyperlink" Target="https://cyberleninka.ru/article/n/problemy-sokrytiya-trafika-v-anonimnoy-seti-i-faktory-vliyayuschie-na-anonimnost" TargetMode="External"/><Relationship Id="rId29" Type="http://schemas.openxmlformats.org/officeDocument/2006/relationships/hyperlink" Target="http://netsukuku.freaknet.org/sourcedocs/main_doc/ntk_rfc/" TargetMode="External"/><Relationship Id="rId30" Type="http://schemas.openxmlformats.org/officeDocument/2006/relationships/hyperlink" Target="https://cyberleninka.ru/article/n/rekomendatelnyy-protokol-detsentralizovannoy-fayloobmennoy-seti" TargetMode="External"/><Relationship Id="rId31" Type="http://schemas.openxmlformats.org/officeDocument/2006/relationships/hyperlink" Target="https://cyberleninka.ru/article/n/kaleydoskop-vpn-tehnologiy" TargetMode="External"/><Relationship Id="rId32" Type="http://schemas.openxmlformats.org/officeDocument/2006/relationships/hyperlink" Target="https://bitcoin.org/files/bitcoin-paper/bitcoin_ru.pdf" TargetMode="External"/><Relationship Id="rId33" Type="http://schemas.openxmlformats.org/officeDocument/2006/relationships/hyperlink" Target="https://bitmessage.org/bitmessage.pdf" TargetMode="External"/><Relationship Id="rId34" Type="http://schemas.openxmlformats.org/officeDocument/2006/relationships/hyperlink" Target="https://www.blackhat.com/presentations/bh-usa-07/Perry/Whitepaper/bh-usa-07-perry-WP.pdf" TargetMode="External"/><Relationship Id="rId35" Type="http://schemas.openxmlformats.org/officeDocument/2006/relationships/hyperlink" Target="https://staas.home.xs4all.nl/t/swtr/documents/wt2015_i2p.pdf" TargetMode="External"/><Relationship Id="rId36" Type="http://schemas.openxmlformats.org/officeDocument/2006/relationships/hyperlink" Target="https://web.archive.org/web/20170312061708/https://gnunet.org/sites/default/files/minion-design.pdf" TargetMode="External"/><Relationship Id="rId37" Type="http://schemas.openxmlformats.org/officeDocument/2006/relationships/hyperlink" Target="https://www.microsoft.com/en-us/research/wp-content/uploads/2002/01/IPTPS2002.pdf" TargetMode="External"/><Relationship Id="rId38" Type="http://schemas.openxmlformats.org/officeDocument/2006/relationships/hyperlink" Target="http://turtle-p2p.sourceforge.net/turtleinitial.pdf" TargetMode="External"/><Relationship Id="rId39" Type="http://schemas.openxmlformats.org/officeDocument/2006/relationships/hyperlink" Target="https://github.com/number571/go-peer" TargetMode="External"/><Relationship Id="rId40" Type="http://schemas.openxmlformats.org/officeDocument/2006/relationships/hyperlink" Target="https://web.archive.org/web/20141222030352/http://pv.bstu.ru/crypto/shannon.pdf" TargetMode="External"/><Relationship Id="rId41" Type="http://schemas.openxmlformats.org/officeDocument/2006/relationships/hyperlink" Target="https://www.getmonero.org/library/Zero-to-Monero-1-0-0.pdf" TargetMode="External"/><Relationship Id="rId4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412</cp:revision>
  <dcterms:created xsi:type="dcterms:W3CDTF">2020-12-11T02:23:00Z</dcterms:created>
  <dcterms:modified xsi:type="dcterms:W3CDTF">2022-04-29T04:39:17Z</dcterms:modified>
</cp:coreProperties>
</file>