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Архитектуры анонимных сетей</w:t>
      </w:r>
      <w:bookmarkStart w:id="33" w:name="Архитектуры_анонимных_сетей"/>
      <w:r>
        <w:rPr>
          <w:rFonts w:ascii="Times New Roman" w:hAnsi="Times New Roman" w:cs="Times New Roman" w:eastAsia="Times New Roman"/>
          <w:b/>
          <w:sz w:val="28"/>
          <w:szCs w:val="24"/>
          <w:highlight w:val="none"/>
        </w:rPr>
      </w:r>
      <w:bookmarkEnd w:id="33"/>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1"/>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моделями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системы</w:t>
      </w:r>
      <w:r>
        <w:rPr>
          <w:rFonts w:ascii="Times New Roman" w:hAnsi="Times New Roman" w:cs="Times New Roman" w:eastAsia="Times New Roman"/>
          <w:sz w:val="24"/>
          <w:szCs w:val="24"/>
          <w:highlight w:val="none"/>
        </w:rPr>
        <w:t xml:space="preserve"> 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преобразует примитивные редирект-функции</w:t>
      </w:r>
      <w:r>
        <w:rPr>
          <w:rFonts w:ascii="Times New Roman" w:hAnsi="Times New Roman" w:cs="Times New Roman" w:eastAsia="Times New Roman"/>
          <w:sz w:val="24"/>
          <w:szCs w:val="24"/>
          <w:highlight w:val="none"/>
        </w:rPr>
        <w:t xml:space="preserve">, изменяя форму передачи информации и</w:t>
      </w:r>
      <w:r>
        <w:rPr>
          <w:rFonts w:ascii="Times New Roman" w:hAnsi="Times New Roman" w:cs="Times New Roman" w:eastAsia="Times New Roman"/>
          <w:sz w:val="24"/>
          <w:szCs w:val="24"/>
          <w:highlight w:val="none"/>
        </w:rPr>
        <w:t xml:space="preserve"> сохраня</w:t>
      </w:r>
      <w:r>
        <w:rPr>
          <w:rFonts w:ascii="Times New Roman" w:hAnsi="Times New Roman" w:cs="Times New Roman" w:eastAsia="Times New Roman"/>
          <w:sz w:val="24"/>
          <w:szCs w:val="24"/>
          <w:highlight w:val="none"/>
        </w:rPr>
        <w:t xml:space="preserve">я иерархию между сервером-клиентом. Внешним противоречием гибридности становится сильная схожесть с «классическими» (децентрализованными, распределёнными) моделями одноранговой архитектуры, при этом не являясь их прямым вырождением</w:t>
      </w:r>
      <w:r>
        <w:rPr>
          <w:rFonts w:ascii="Times New Roman" w:hAnsi="Times New Roman" w:cs="Times New Roman" w:eastAsia="Times New Roman"/>
          <w:sz w:val="24"/>
          <w:szCs w:val="24"/>
          <w:highlight w:val="none"/>
        </w:rPr>
        <w:t xml:space="preserve">. Иными словами, при рассмотрении внутреннего фрагмента системы, сама сеть начинает анализироваться как прозрачно одноранговая, но при целостном осмотре системы, а не только её составной части, она начинает обретать «краски» иерархичности и быть зависимой </w:t>
      </w:r>
      <w:r>
        <w:rPr>
          <w:rFonts w:ascii="Times New Roman" w:hAnsi="Times New Roman" w:cs="Times New Roman" w:eastAsia="Times New Roman"/>
          <w:sz w:val="24"/>
          <w:szCs w:val="24"/>
          <w:highlight w:val="none"/>
        </w:rPr>
        <w:t xml:space="preserve">от действий</w:t>
      </w:r>
      <w:r>
        <w:rPr>
          <w:rFonts w:ascii="Times New Roman" w:hAnsi="Times New Roman" w:cs="Times New Roman" w:eastAsia="Times New Roman"/>
          <w:sz w:val="24"/>
          <w:szCs w:val="24"/>
          <w:highlight w:val="none"/>
        </w:rPr>
        <w:t xml:space="preserve"> клиентов, тем самым становясь несамостоятельной в своих функциях исполнения, и как следствие не одноранговой в своём проявлении. </w:t>
      </w:r>
      <w:r>
        <w:rPr>
          <w:rFonts w:ascii="Times New Roman" w:hAnsi="Times New Roman" w:cs="Times New Roman" w:eastAsia="Times New Roman"/>
          <w:sz w:val="24"/>
          <w:szCs w:val="24"/>
          <w:highlight w:val="none"/>
        </w:rPr>
        <w:t xml:space="preserve">Таким образом, внутренним противоречием системы является симуляция одноранговой распределённости её многоранговым аналогом, и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 её одноранговым дженериком. </w:t>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2"/>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2"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На базе всего вышесказанного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её первых трёх пунктов. Таким образом,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3"/>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3" o:title=""/>
              </v:shape>
            </w:pict>
          </mc:Fallback>
        </mc:AlternateContent>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063" name="Изображение4" descr="" hidden="0"/>
                        <pic:cNvPicPr>
                          <a:picLocks noChangeAspect="1"/>
                        </pic:cNvPicPr>
                        <pic:nvPr isPhoto="0" userDrawn="0"/>
                      </pic:nvPicPr>
                      <pic:blipFill>
                        <a:blip r:embed="rId15"/>
                        <a:stretch/>
                      </pic:blipFill>
                      <pic:spPr bwMode="auto">
                        <a:xfrm flipH="0" flipV="0">
                          <a:off x="0" y="0"/>
                          <a:ext cx="3098237" cy="2149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6"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4556" name="" hidden="0"/>
                        <pic:cNvPicPr>
                          <a:picLocks noChangeAspect="1"/>
                        </pic:cNvPicPr>
                        <pic:nvPr isPhoto="0" userDrawn="0"/>
                      </pic:nvPicPr>
                      <pic:blipFill>
                        <a:blip r:embed="rId18"/>
                        <a:stretch/>
                      </pic:blipFill>
                      <pic:spPr bwMode="auto">
                        <a:xfrm flipH="0" flipV="0">
                          <a:off x="0" y="0"/>
                          <a:ext cx="4907702" cy="3323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8"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0"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29"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0"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1"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2"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3"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4"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5"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6"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7"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8"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9"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www.schneier.com/essays/archives/2009/11/beyond_security_thea.html"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rekomendatelnyy-protokol-detsentralizovannoy-fayloobmennoy-seti" TargetMode="External"/><Relationship Id="rId30" Type="http://schemas.openxmlformats.org/officeDocument/2006/relationships/hyperlink" Target="https://cyberleninka.ru/article/n/kaleydoskop-vpn-tehnologiy" TargetMode="External"/><Relationship Id="rId31" Type="http://schemas.openxmlformats.org/officeDocument/2006/relationships/hyperlink" Target="https://bitcoin.org/files/bitcoin-paper/bitcoin_ru.pdf" TargetMode="External"/><Relationship Id="rId32" Type="http://schemas.openxmlformats.org/officeDocument/2006/relationships/hyperlink" Target="https://bitmessage.org/bitmessage.pdf" TargetMode="External"/><Relationship Id="rId33" Type="http://schemas.openxmlformats.org/officeDocument/2006/relationships/hyperlink" Target="https://www.blackhat.com/presentations/bh-usa-07/Perry/Whitepaper/bh-usa-07-perry-WP.pdf" TargetMode="External"/><Relationship Id="rId34" Type="http://schemas.openxmlformats.org/officeDocument/2006/relationships/hyperlink" Target="https://staas.home.xs4all.nl/t/swtr/documents/wt2015_i2p.pdf" TargetMode="External"/><Relationship Id="rId35" Type="http://schemas.openxmlformats.org/officeDocument/2006/relationships/hyperlink" Target="https://web.archive.org/web/20170312061708/https://gnunet.org/sites/default/files/minion-design.pdf" TargetMode="External"/><Relationship Id="rId36" Type="http://schemas.openxmlformats.org/officeDocument/2006/relationships/hyperlink" Target="https://www.microsoft.com/en-us/research/wp-content/uploads/2002/01/IPTPS2002.pdf" TargetMode="External"/><Relationship Id="rId37" Type="http://schemas.openxmlformats.org/officeDocument/2006/relationships/hyperlink" Target="http://turtle-p2p.sourceforge.net/turtleinitial.pdf" TargetMode="External"/><Relationship Id="rId38" Type="http://schemas.openxmlformats.org/officeDocument/2006/relationships/hyperlink" Target="https://github.com/number571/go-peer" TargetMode="External"/><Relationship Id="rId39" Type="http://schemas.openxmlformats.org/officeDocument/2006/relationships/hyperlink" Target="https://web.archive.org/web/20141222030352/http://pv.bstu.ru/crypto/shannon.pdf" TargetMode="External"/><Relationship Id="rId40" Type="http://schemas.openxmlformats.org/officeDocument/2006/relationships/hyperlink" Target="https://www.getmonero.org/library/Zero-to-Monero-1-0-0.pdf" TargetMode="External"/><Relationship Id="rId41"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394</cp:revision>
  <dcterms:created xsi:type="dcterms:W3CDTF">2020-12-11T02:23:00Z</dcterms:created>
  <dcterms:modified xsi:type="dcterms:W3CDTF">2022-04-01T16:12:39Z</dcterms:modified>
</cp:coreProperties>
</file>