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Proof-of-Union —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алгоритм консенсуса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в </w:t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блокчейн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системах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базируемый на сотрудничестве узлов</w:t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1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1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настоящее время существует огромное количество консенсус алгоритмов для блокчейн систем, каждый из которых имеет свои преимущества и недостатки присущие только им, либо целому классу сходных алгоритмов.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Так или иначе, в данное время лидирует две концепции консенсуса - основанные на майнинге (PoW) [1] и форжинге (PoS) [2], которые в свою очередь представляют конкурентную и последовательную модели генерации блоков непосредственно. Такое разделение либо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крайне большое расходование материальных ресурсов, либо представляет собой необходимость комбинации с другими методами консенсуса [3], что приводит к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сложности реализации, а следовательно и к проблеме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доказуемой безопасности конечного решения [4, с.319]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Альтернативной моделью конкуренции и последовательности может являться алгоритм объединения узлов (PoU), решающий общую задачу сообща и главным преимуществом которого является простота реализации, сродни PoW и быстрота генерации блоков, эквивалентная PoS.</w:t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ind w:firstLine="708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Становление</w:t>
      </w:r>
      <w:bookmarkStart w:id="2" w:name="Становл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Зарождение PoU представляет собой вполне закономерное развитие консенсус алгоритмов, представленных в качестве синтеза уже ранее созданных и применяемых методов.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Обобщая, можно представить эволюцию блокчейн систем в следующих этапах становления.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Конкуренция. Представляет собой генезис блокчейн систем, тезис и начало развития непосредственно. В такой модели каждый узел выполняет однотипные и сложно-математические операции полностью децентра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лизовано, несвязанно между собой, что порождает выполнение одинаковых действий многократно, в большей степени без всякой полезной нагрузки. Отрицательным качеством безусловно является необходимость поддерживать конкуренцию, быть соперником относительно вс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ей другой сети, удерживать свои мощности, что в конечном счёте приводит, во-первых, к необходимости постоянного потребления майнинг-аппаратуры (процессоры, видеокарты, интегральные схемы и т.д.)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во-вторых, к логичному завышению цен на подобную аппаратуру,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методом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искусственного дефицита средств производящими монополия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ми относительно большего спроса [5]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в-третьих, к неостановимому поглощению электроэнергии и скорейшему разрушению потреблённой аппаратуры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[6]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Положительным качеством же является простота описания алгоритма и независимость от сети, что и приводит к доступности анализа конечной безопасности.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Последовательность. Развивается как отрицание, антитезис конкуренции, избавляясь от самых негативных её черт. В такой модели узлы выполняют валидацию блоков поочерёдно, один за другим по общему алгоритму выбора валидатора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Сложность реализации последовательной концепции начинается на уровне сетевого консенсуса, когда строится сильная необходимость и даже зависимость валидации текущего и главного proposer валидатора всеми другими узлами сети, что приводи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к возможности существования постоянных разветвлений посредством проблем «ничего на кону» и «двойной траты». Для такого случая существуют дополняющие алгоритмы, способные обеспечить сетевой консенсус между узлами, подобно ядру Tendermin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базируемом на задаче византийских генералов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[7]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Безу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словным положительным качеством такой модели является отсутствие в необходимости конкурировать, что приводит к достаточно простой аппаратной составляющей, не приводящей к трате большого количества электроэнергии и быстрому устареванию используемой техники.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Объединение. Развивается как синтез конкуренции и последовательности, вбирая в себя простоту, монолитность и скорость, энергоэффективность. В такой модели не существует более валидаторов как отдельны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х и индивидуальных участников сети, теперь более блок не подписывается кем-то конкретным и определённым. Единственным и монопольным валидатором в конечном счёте становится сама сеть валидаторов, потому и не имеет значения кто станет proposer’ом блока, что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приводит к финальному отрицанию последовательности как таковой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Также вторым отличие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 от двух пре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дыдущих классов консенсусов является концепция слияния разных взглядов и видений на генерацию блока, вместо выбора единственно верного из предложенного множества, что приводит к однозначному и наиболее лёгкому поиску решения методом объединения информации.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Определение</w:t>
      </w:r>
      <w:bookmarkStart w:id="3" w:name="Определ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3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Главным отличием Po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U консенс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уса является зацикленность системы на сохранение транзакций больше, чем самой связи между блоками, что является противоречивым явлением для блокчейн структур в целом. Суть заключается в том, что существует у таких алгоритмов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-ое количество блоков, п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одобно транзакциям, находящимся в статусе ожидания, pending’e, и в это же время существуют блоки, генерируемые после них, наперёд. Таким образом, можно сказать, что помимо транзакций, существуют также блоки, находящиеся в своеобразном mempool пространстве.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Будучи блоками неподтверждёнными, они не согласованы с сетью полностью. В таком пер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иод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 они перезаписываются и видоизменяются, находясь в этапе полиморфизма своих внутренностей. Блоки же подтверждённые располагаются ранее всех неподтверждённых, они устоявшиеся и представляют уже статичность внутренностей, неизменность заложенных транзакций.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Механизм доказательства объединения состоит из трёх основных и последовательных функций выдающих блок в разный период его состояния.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Принятие (accept). При вызове данной функции происходит образование нового блока на базе взятых транзакций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mempool’a. При таком действии не происходит какого бы то ни было согласования с сетью, а следователь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но само подтверждение является неполным, не приводящим к окончательному решению консенсуса. После данного этапа начинается временная задержка перед последующим вызовом функции accept, необходимая для согласования с сетью уже на основе второй функции merge.</w:t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Слияние (merge). При вызове данной функции происходит изменение ранее созданного блока с блоком принятым из вне. В такой функции особ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енно важен сам механизм соединения двух разных блоков в один целостный, чтобы отправи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тель мог прийти к точно такому же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результатному блоку, как и получатель. Одним из самых простых решений может являться сортировка транзакций с помещением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-ого количества из полученного множества в блок. Все отброшенные транзакции после слияния попадают снова в mempool, ожидая следующего блока.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Фиксирование (commit).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множества. Предполагается, что большая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часть валидаторов будет говорить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истину, а потому и сохранение итогового блока в конечном счёте будет основываться на количественной характеристике сети. Качественная характеристика может уже налагаться дополнительной бизнес-логикой к ядру блокчейн сети базируемом на PoU алгоритме.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before="0" w:after="0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9842" cy="270797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5528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9842" cy="27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5pt;height:213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spacing w:before="0" w:after="0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before="0" w:after="0"/>
        <w:rPr>
          <w:rFonts w:ascii="Times New Roman" w:hAnsi="Times New Roman" w:cs="Times New Roman" w:eastAsia="Times New Roman"/>
          <w:sz w:val="22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1.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Общая схема консенсуса Proof-of-Union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при двух валидаторах,</w:t>
      </w:r>
      <w:r>
        <w:rPr>
          <w:sz w:val="22"/>
        </w:rPr>
      </w:r>
      <w:r/>
    </w:p>
    <w:p>
      <w:pPr>
        <w:jc w:val="center"/>
        <w:spacing w:before="0" w:after="0"/>
        <w:rPr>
          <w:rFonts w:ascii="Times New Roman" w:hAnsi="Times New Roman" w:cs="Times New Roman" w:eastAsia="Times New Roman"/>
          <w:sz w:val="22"/>
          <w:highlight w:val="none"/>
        </w:rPr>
      </w:pP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где h - высота блока, (1+2) - объединение двух позиций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</w:r>
      <w:r/>
    </w:p>
    <w:p>
      <w:pPr>
        <w:ind w:left="0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экономической точки зрения такой алгоритм консенсуса приведёт к невозможности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вознаграждать валидаторов внутренним механизмом бизнес-логики блокчейн технологии, т.к. каждый отдельный валидатор будет генерировать блок исходя из всех других валидаторов сети. Единственным способом поощрения валидации блока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останется поощрение всех валидаторов непосредственно, без учёта их различий.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before="0" w:after="0"/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Безопасность</w:t>
      </w:r>
      <w:bookmarkStart w:id="4" w:name="Безопасность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4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У алгоритма PoU существует ряд неоднозначных явлений, присущих в большей части только ему. Так например, одним из важнейших моментов при анализе безопасности является невозможность доказательства «правильной» цепочки. Иными словами, PoU базируе</w:t>
      </w:r>
      <w:r>
        <w:rPr>
          <w:rFonts w:ascii="Times New Roman" w:hAnsi="Times New Roman" w:cs="Times New Roman" w:eastAsia="Times New Roman"/>
          <w:sz w:val="24"/>
        </w:rPr>
        <w:t xml:space="preserve">тся на основе динамической генерации блоков, когда не существует объективной характеристики определить «вернейшую» цепочку из всего множества уже существующих, т.к. сам алгоритм основывается на концепции их слияния, а не выбора одного возможного элемента.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Таким образом, новый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подключающийся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валидатор должен довериться одной ветви развития блокчейна из предложенного ограниченного множества.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Пример программного кода [8] процедуры объединения блоков: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693"/>
        <w:ind w:firstLine="708"/>
        <w:jc w:val="both"/>
        <w:spacing w:before="0" w:after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sz w:val="18"/>
          <w:szCs w:val="24"/>
          <w:lang w:val="en-US"/>
        </w:rPr>
        <w:t xml:space="preserve">import (</w:t>
      </w:r>
      <w:r>
        <w:rPr>
          <w:rFonts w:ascii="Monospace" w:hAnsi="Monospace" w:cs="Monospace" w:eastAsia="Monospace"/>
        </w:rPr>
      </w:r>
      <w:r/>
    </w:p>
    <w:p>
      <w:pPr>
        <w:pStyle w:val="693"/>
        <w:ind w:left="708" w:firstLine="708"/>
        <w:jc w:val="both"/>
        <w:spacing w:before="0" w:after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color w:val="0D0D0D" w:themeColor="text1" w:themeTint="F2"/>
          <w:sz w:val="18"/>
          <w:szCs w:val="24"/>
          <w:lang w:val="en-US"/>
        </w:rPr>
        <w:t xml:space="preserve">"bytes"</w:t>
      </w:r>
      <w:r>
        <w:rPr>
          <w:rFonts w:ascii="Monospace" w:hAnsi="Monospace" w:cs="Monospace" w:eastAsia="Monospace"/>
        </w:rPr>
      </w:r>
      <w:r/>
    </w:p>
    <w:p>
      <w:pPr>
        <w:pStyle w:val="693"/>
        <w:ind w:left="708" w:firstLine="0"/>
        <w:jc w:val="both"/>
        <w:spacing w:before="0" w:after="0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  <w:sz w:val="18"/>
          <w:szCs w:val="24"/>
          <w:lang w:val="en-US"/>
        </w:rPr>
        <w:t xml:space="preserve">)</w:t>
      </w:r>
      <w:r>
        <w:rPr>
          <w:rFonts w:ascii="Monospace" w:hAnsi="Monospace" w:cs="Monospace" w:eastAsia="Monospace"/>
          <w:sz w:val="24"/>
          <w:highlight w:val="none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func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(chain *ChainT)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Merge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 Height, txs []Transaction)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bool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707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chain.mtx.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defer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chain.mtx.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Unlock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var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(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lastBlock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[]Transaction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)</w:t>
      </w:r>
      <w:r>
        <w:rPr>
          <w:rFonts w:ascii="Monospace" w:hAnsi="Monospace" w:cs="Monospace" w:eastAsia="Monospace"/>
          <w:color w:val="000000" w:themeColor="text1"/>
          <w:sz w:val="18"/>
          <w:highlight w:val="none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Height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 != height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append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lastBlock.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Transactions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()...)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for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_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tx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range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txs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!tx.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IsValid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    </w:t>
        <w:tab/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TX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(tx.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()) !=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nil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    </w:t>
        <w:tab/>
        <w:tab/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continue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  <w:tab/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resultTXs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=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append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tx)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if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len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(resultTXs) == TXsSize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false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sort.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SliceStable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func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(i, j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int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)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bool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{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bytes.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Compare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(resultTXs[i].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(), resultTXs[j].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()) &lt;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0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})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appendTXs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resultTXs[:TXsSize]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deleteTXs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:= resultTXs[TXsSize:]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  <w:tab/>
        <w:t xml:space="preserve">chain.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updateBlock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(height,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NewBlock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(lastBlock.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PrevHash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(), appendTXs), deleteTXs)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    </w:t>
      </w:r>
      <w:r>
        <w:rPr>
          <w:rFonts w:ascii="Monospace" w:hAnsi="Monospace" w:cs="Monospace" w:eastAsia="Monospace"/>
          <w:color w:val="000000" w:themeColor="text1"/>
          <w:sz w:val="18"/>
        </w:rPr>
        <w:tab/>
        <w:t xml:space="preserve">return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 </w:t>
      </w:r>
      <w:r>
        <w:rPr>
          <w:rFonts w:ascii="Monospace" w:hAnsi="Monospace" w:cs="Monospace" w:eastAsia="Monospace"/>
          <w:color w:val="000000" w:themeColor="text1"/>
          <w:sz w:val="18"/>
        </w:rPr>
        <w:t xml:space="preserve">true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left="709" w:right="0" w:firstLine="0"/>
        <w:spacing w:before="0" w:after="0" w:line="285" w:lineRule="atLeast"/>
        <w:rPr>
          <w:rFonts w:ascii="Monospace" w:hAnsi="Monospace" w:cs="Monospace" w:eastAsia="Monospace"/>
          <w:color w:val="000000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onospace" w:hAnsi="Monospace" w:cs="Monospace" w:eastAsia="Monospace"/>
          <w:color w:val="000000" w:themeColor="text1"/>
          <w:sz w:val="18"/>
        </w:rPr>
        <w:t xml:space="preserve">}</w:t>
      </w:r>
      <w:r>
        <w:rPr>
          <w:rFonts w:ascii="Monospace" w:hAnsi="Monospace" w:cs="Monospace" w:eastAsia="Monospace"/>
          <w:color w:val="000000" w:themeColor="text1"/>
          <w:sz w:val="18"/>
        </w:rPr>
      </w:r>
      <w:r/>
    </w:p>
    <w:p>
      <w:pPr>
        <w:ind w:firstLine="0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Продолжая, можно отметить, что функция commit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представляет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собой необходимую меру для решения проблематики функции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merge,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когда таковая в чист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ом виде может приводить к разветвлениям сети, при условии, что сам новый merge-блок появляется в момент нового вызова accept частью сети. Такой случай крайне легко было бы воспроизводить злоумышленниками (без функции commit), постоянно разветвляющими сеть.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/>
    </w:p>
    <w:p>
      <w:pPr>
        <w:ind w:firstLine="708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Далее, если у сети не существует дополнительной бизнес-логики, а сам алгоритм базируется только на реализации PoU в чистом вид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е, то представляется возможной атака заполнения блока транзакциями наиболее релевантными по алгоритму выборки транзакций. Это в свою очередь может привести к спам-атаке, которая, как итог, не позволит обычным клиентам сохранять свою информацию в блокчейне.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before="0" w:after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5. Заключение</w:t>
      </w:r>
      <w:bookmarkStart w:id="5" w:name="Заключ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5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данной 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боте был выявлен новый класс формирования и установки консенсуса основанный на доказательстве объединения, представленный как альтернатива конкурентной и последовательной моделям. Плюсом алгоритма стала простота его реализации и скорость генерации блоков.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Помимо плюсов сам алгоритм представляет и неоднозначность безопасности, т.к. базируется на кардинально противоположной позиции конкурентной и последовательной моделям консенсуса, и требует объединения разных взглядов на выдвинутый валидаторами блок.</w:t>
      </w:r>
      <w:r/>
    </w:p>
    <w:p>
      <w:pPr>
        <w:jc w:val="both"/>
        <w:spacing w:before="0" w:after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93"/>
        <w:ind w:firstLine="708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bookmarkStart w:id="6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6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93"/>
        <w:jc w:val="both"/>
        <w:spacing w:before="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774"/>
        <w:numPr>
          <w:ilvl w:val="0"/>
          <w:numId w:val="1"/>
        </w:numPr>
        <w:contextualSpacing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Накамото, С. Биткойн: система цифровой пиринговой наличности [Электронный ресурс]. — Режим доступа: </w:t>
      </w:r>
      <w:hyperlink r:id="rId11" w:tooltip="https://bitcoin.org/files/bitcoin-paper/bitcoin_ru.pdf" w:history="1">
        <w:r>
          <w:rPr>
            <w:rFonts w:ascii="Times New Roman" w:hAnsi="Times New Roman" w:cs="Times New Roman" w:eastAsia="Times New Roman"/>
            <w:color w:val="000000" w:themeColor="text1"/>
            <w:sz w:val="24"/>
          </w:rPr>
          <w:t xml:space="preserve">https://bitcoin.org/files/bitcoin-paper/bitcoin_ru.pdf</w:t>
        </w:r>
      </w:hyperlink>
      <w:r>
        <w:rPr>
          <w:rFonts w:ascii="Times New Roman" w:hAnsi="Times New Roman" w:cs="Times New Roman" w:eastAsia="Times New Roman"/>
          <w:sz w:val="24"/>
        </w:rPr>
        <w:t xml:space="preserve"> (дата обращения: 19.12.2020).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King, S., Nadal, S. PPCoin: Peer-to-Peer Crypto-Currency with Proof-of-Stake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2" w:tooltip="https://web.archive.org/web/20171211072318/https://peercoin.net/assets/paper/peercoin-paper.pdf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https://web.archive.org/web/20171211072318/https://peercoin.net/assets/paper/peercoin-pap</w:t>
        </w:r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er.pdf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PROOF OF STAKE - это скам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3" w:tooltip="https://habr.com/ru/post/600113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https://habr.com/ru/post/600113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Шнайер, Б. Секреты и ложь. Безопасность данных в цифровом мире / Б. Шнайер. — СпБ.: Питер, 2003. - 368 с.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774"/>
        <w:numPr>
          <w:ilvl w:val="0"/>
          <w:numId w:val="1"/>
        </w:numPr>
        <w:contextualSpacing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Взгляд изнутри: цены на видеокарты и чего ждать от рынка завтра?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Style w:val="744"/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</w:r>
      <w:hyperlink r:id="rId14" w:tooltip="https://habr.com/ru/company/asus/blog/571400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https://habr.com/ru/company/asus/blog/571400</w:t>
        </w:r>
      </w:hyperlink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Самохин, В., Самохин, Д., Бабкин, Е., Петров, И. Актуальность вопросов энергосбережения на майнинг-фермах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</w:r>
      <w:hyperlink r:id="rId15" w:tooltip="https://cyberleninka.ru/article/n/aktualnost-voprosov-energosberezheniya-na-mayning-fermah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https://cyberleninka.ru/article/n/aktualnost-voprosov-energosberezheniya-na-mayning-fermah</w:t>
        </w:r>
      </w:hyperlink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74"/>
        <w:numPr>
          <w:ilvl w:val="0"/>
          <w:numId w:val="1"/>
        </w:numPr>
        <w:contextualSpacing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4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Герасимов, И., Чижов, И. Алгоритм консенсуса платформы Tendermint и механизм Proof Of Lock Change</w:t>
      </w:r>
      <w:r>
        <w:rPr>
          <w:rFonts w:ascii="Times New Roman" w:hAnsi="Times New Roman" w:cs="Times New Roman" w:eastAsia="Times New Roman"/>
          <w:sz w:val="24"/>
        </w:rPr>
        <w:t xml:space="preserve"> [Эле</w:t>
      </w:r>
      <w:r>
        <w:rPr>
          <w:rFonts w:ascii="Times New Roman" w:hAnsi="Times New Roman" w:cs="Times New Roman" w:eastAsia="Times New Roman"/>
          <w:sz w:val="24"/>
        </w:rPr>
        <w:t xml:space="preserve">ктронный ресурс]. 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6" w:tooltip="https://cyberleninka.ru/article/n/algoritm-konsensusa-platformy-tendermint-i-mehanizm-proof-of-lock-change" w:history="1">
        <w:r>
          <w:rPr>
            <w:rStyle w:val="69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https://cyberleninka.ru/article/n/algoritm-konsensusa-platformy-tendermint-i-mehanizm-proof-of-lock-change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4"/>
        <w:numPr>
          <w:ilvl w:val="0"/>
          <w:numId w:val="1"/>
        </w:numPr>
        <w:contextualSpacing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Д</w:t>
      </w:r>
      <w:r>
        <w:rPr>
          <w:rStyle w:val="744"/>
          <w:rFonts w:ascii="Times New Roman" w:hAnsi="Times New Roman" w:cs="Times New Roman" w:eastAsia="Times New Roman"/>
          <w:color w:val="000000"/>
          <w:sz w:val="24"/>
        </w:rPr>
        <w:t xml:space="preserve">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cs="Times New Roman" w:eastAsia="Times New Roman"/>
        </w:rPr>
      </w:r>
      <w:r/>
    </w:p>
    <w:p>
      <w:pPr>
        <w:contextualSpacing/>
        <w:ind w:left="0" w:firstLine="0"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contextualSpacing/>
        <w:ind w:left="0" w:firstLine="0"/>
        <w:jc w:val="both"/>
        <w:spacing w:before="0" w:after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space">
    <w:panose1 w:val="02000603000000000000"/>
  </w:font>
  <w:font w:name="Lohit Devanagari">
    <w:panose1 w:val="02000603000000000000"/>
  </w:font>
  <w:font w:name="Times New Roman">
    <w:panose1 w:val="02020603050405020304"/>
  </w:font>
  <w:font w:name="Liberation Sans"/>
  <w:font w:name="Noto Sans CJK SC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6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yperlink"/>
    <w:uiPriority w:val="99"/>
    <w:unhideWhenUsed/>
    <w:rPr>
      <w:color w:val="0000FF" w:themeColor="hyperlink"/>
      <w:u w:val="single"/>
    </w:rPr>
  </w:style>
  <w:style w:type="character" w:styleId="691">
    <w:name w:val="footnote reference"/>
    <w:basedOn w:val="708"/>
    <w:uiPriority w:val="99"/>
    <w:unhideWhenUsed/>
    <w:rPr>
      <w:vertAlign w:val="superscript"/>
    </w:rPr>
  </w:style>
  <w:style w:type="character" w:styleId="692">
    <w:name w:val="endnote reference"/>
    <w:basedOn w:val="708"/>
    <w:uiPriority w:val="99"/>
    <w:semiHidden/>
    <w:unhideWhenUsed/>
    <w:rPr>
      <w:vertAlign w:val="superscript"/>
    </w:rPr>
  </w:style>
  <w:style w:type="paragraph" w:styleId="693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694">
    <w:name w:val="Heading 1"/>
    <w:basedOn w:val="693"/>
    <w:next w:val="69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95">
    <w:name w:val="Heading 2"/>
    <w:basedOn w:val="693"/>
    <w:next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96">
    <w:name w:val="Heading 3"/>
    <w:basedOn w:val="693"/>
    <w:next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97">
    <w:name w:val="Heading 4"/>
    <w:basedOn w:val="693"/>
    <w:next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98">
    <w:name w:val="Heading 5"/>
    <w:basedOn w:val="693"/>
    <w:next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99">
    <w:name w:val="Heading 6"/>
    <w:basedOn w:val="693"/>
    <w:next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00">
    <w:name w:val="Heading 7"/>
    <w:basedOn w:val="693"/>
    <w:next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01">
    <w:name w:val="Heading 8"/>
    <w:basedOn w:val="693"/>
    <w:next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02">
    <w:name w:val="Heading 9"/>
    <w:basedOn w:val="693"/>
    <w:next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3">
    <w:name w:val="Интернет-ссылка"/>
    <w:uiPriority w:val="99"/>
    <w:unhideWhenUsed/>
    <w:rPr>
      <w:color w:val="0563C1" w:themeColor="hyperlink"/>
      <w:u w:val="single"/>
    </w:rPr>
  </w:style>
  <w:style w:type="character" w:styleId="704">
    <w:name w:val="Привязка сноски"/>
    <w:rPr>
      <w:vertAlign w:val="superscript"/>
    </w:rPr>
  </w:style>
  <w:style w:type="character" w:styleId="705">
    <w:name w:val="Footnote Characters"/>
    <w:basedOn w:val="708"/>
    <w:uiPriority w:val="99"/>
    <w:unhideWhenUsed/>
    <w:qFormat/>
    <w:rPr>
      <w:vertAlign w:val="superscript"/>
    </w:rPr>
  </w:style>
  <w:style w:type="character" w:styleId="706">
    <w:name w:val="Привязка концевой сноски"/>
    <w:rPr>
      <w:vertAlign w:val="superscript"/>
    </w:rPr>
  </w:style>
  <w:style w:type="character" w:styleId="707">
    <w:name w:val="Endnote Characters"/>
    <w:basedOn w:val="708"/>
    <w:uiPriority w:val="99"/>
    <w:semiHidden/>
    <w:unhideWhenUsed/>
    <w:qFormat/>
    <w:rPr>
      <w:vertAlign w:val="superscript"/>
    </w:rPr>
  </w:style>
  <w:style w:type="character" w:styleId="708" w:default="1">
    <w:name w:val="Default Paragraph Font"/>
    <w:uiPriority w:val="1"/>
    <w:semiHidden/>
    <w:unhideWhenUsed/>
    <w:qFormat/>
  </w:style>
  <w:style w:type="character" w:styleId="709" w:customStyle="1">
    <w:name w:val="Heading 1 Char"/>
    <w:basedOn w:val="708"/>
    <w:uiPriority w:val="9"/>
    <w:qFormat/>
    <w:rPr>
      <w:rFonts w:ascii="Arial" w:hAnsi="Arial" w:cs="Arial" w:eastAsia="Arial"/>
      <w:sz w:val="40"/>
      <w:szCs w:val="40"/>
    </w:rPr>
  </w:style>
  <w:style w:type="character" w:styleId="710" w:customStyle="1">
    <w:name w:val="Heading 2 Char"/>
    <w:basedOn w:val="708"/>
    <w:uiPriority w:val="9"/>
    <w:qFormat/>
    <w:rPr>
      <w:rFonts w:ascii="Arial" w:hAnsi="Arial" w:cs="Arial" w:eastAsia="Arial"/>
      <w:sz w:val="34"/>
    </w:rPr>
  </w:style>
  <w:style w:type="character" w:styleId="711" w:customStyle="1">
    <w:name w:val="Heading 3 Char"/>
    <w:basedOn w:val="708"/>
    <w:uiPriority w:val="9"/>
    <w:qFormat/>
    <w:rPr>
      <w:rFonts w:ascii="Arial" w:hAnsi="Arial" w:cs="Arial" w:eastAsia="Arial"/>
      <w:sz w:val="30"/>
      <w:szCs w:val="30"/>
    </w:rPr>
  </w:style>
  <w:style w:type="character" w:styleId="712" w:customStyle="1">
    <w:name w:val="Heading 4 Char"/>
    <w:basedOn w:val="70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713" w:customStyle="1">
    <w:name w:val="Heading 5 Char"/>
    <w:basedOn w:val="70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714" w:customStyle="1">
    <w:name w:val="Heading 6 Char"/>
    <w:basedOn w:val="70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715" w:customStyle="1">
    <w:name w:val="Heading 7 Char"/>
    <w:basedOn w:val="70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716" w:customStyle="1">
    <w:name w:val="Heading 8 Char"/>
    <w:basedOn w:val="70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717" w:customStyle="1">
    <w:name w:val="Heading 9 Char"/>
    <w:basedOn w:val="70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718" w:customStyle="1">
    <w:name w:val="Title Char"/>
    <w:basedOn w:val="708"/>
    <w:uiPriority w:val="10"/>
    <w:qFormat/>
    <w:rPr>
      <w:sz w:val="48"/>
      <w:szCs w:val="48"/>
    </w:rPr>
  </w:style>
  <w:style w:type="character" w:styleId="719" w:customStyle="1">
    <w:name w:val="Subtitle Char"/>
    <w:basedOn w:val="708"/>
    <w:uiPriority w:val="11"/>
    <w:qFormat/>
    <w:rPr>
      <w:sz w:val="24"/>
      <w:szCs w:val="24"/>
    </w:rPr>
  </w:style>
  <w:style w:type="character" w:styleId="720" w:customStyle="1">
    <w:name w:val="Quote Char"/>
    <w:uiPriority w:val="29"/>
    <w:qFormat/>
    <w:rPr>
      <w:i/>
    </w:rPr>
  </w:style>
  <w:style w:type="character" w:styleId="721" w:customStyle="1">
    <w:name w:val="Intense Quote Char"/>
    <w:uiPriority w:val="30"/>
    <w:qFormat/>
    <w:rPr>
      <w:i/>
    </w:rPr>
  </w:style>
  <w:style w:type="character" w:styleId="722" w:customStyle="1">
    <w:name w:val="Header Char"/>
    <w:basedOn w:val="708"/>
    <w:uiPriority w:val="99"/>
    <w:qFormat/>
  </w:style>
  <w:style w:type="character" w:styleId="723" w:customStyle="1">
    <w:name w:val="Footer Char"/>
    <w:basedOn w:val="708"/>
    <w:uiPriority w:val="99"/>
    <w:qFormat/>
  </w:style>
  <w:style w:type="character" w:styleId="724" w:customStyle="1">
    <w:name w:val="Footnote Text Char"/>
    <w:uiPriority w:val="99"/>
    <w:qFormat/>
    <w:rPr>
      <w:sz w:val="18"/>
    </w:rPr>
  </w:style>
  <w:style w:type="character" w:styleId="725" w:customStyle="1">
    <w:name w:val="Endnote Text Char"/>
    <w:uiPriority w:val="99"/>
    <w:qFormat/>
    <w:rPr>
      <w:sz w:val="20"/>
    </w:rPr>
  </w:style>
  <w:style w:type="character" w:styleId="726" w:customStyle="1">
    <w:name w:val="Caption Char"/>
    <w:uiPriority w:val="99"/>
    <w:qFormat/>
  </w:style>
  <w:style w:type="character" w:styleId="727" w:customStyle="1">
    <w:name w:val="Текст концевой сноски Знак"/>
    <w:uiPriority w:val="99"/>
    <w:qFormat/>
    <w:rPr>
      <w:sz w:val="20"/>
    </w:rPr>
  </w:style>
  <w:style w:type="character" w:styleId="728" w:customStyle="1">
    <w:name w:val="Заголовок 1 Знак"/>
    <w:basedOn w:val="708"/>
    <w:uiPriority w:val="9"/>
    <w:qFormat/>
    <w:rPr>
      <w:rFonts w:ascii="Arial" w:hAnsi="Arial" w:cs="Arial" w:eastAsia="Arial"/>
      <w:sz w:val="40"/>
      <w:szCs w:val="40"/>
    </w:rPr>
  </w:style>
  <w:style w:type="character" w:styleId="729" w:customStyle="1">
    <w:name w:val="Заголовок 2 Знак"/>
    <w:basedOn w:val="708"/>
    <w:uiPriority w:val="9"/>
    <w:qFormat/>
    <w:rPr>
      <w:rFonts w:ascii="Arial" w:hAnsi="Arial" w:cs="Arial" w:eastAsia="Arial"/>
      <w:sz w:val="34"/>
    </w:rPr>
  </w:style>
  <w:style w:type="character" w:styleId="730" w:customStyle="1">
    <w:name w:val="Заголовок 3 Знак"/>
    <w:basedOn w:val="708"/>
    <w:uiPriority w:val="9"/>
    <w:qFormat/>
    <w:rPr>
      <w:rFonts w:ascii="Arial" w:hAnsi="Arial" w:cs="Arial" w:eastAsia="Arial"/>
      <w:sz w:val="30"/>
      <w:szCs w:val="30"/>
    </w:rPr>
  </w:style>
  <w:style w:type="character" w:styleId="731" w:customStyle="1">
    <w:name w:val="Заголовок 4 Знак"/>
    <w:basedOn w:val="70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732" w:customStyle="1">
    <w:name w:val="Заголовок 5 Знак"/>
    <w:basedOn w:val="70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733" w:customStyle="1">
    <w:name w:val="Заголовок 6 Знак"/>
    <w:basedOn w:val="70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734" w:customStyle="1">
    <w:name w:val="Заголовок 7 Знак"/>
    <w:basedOn w:val="70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735" w:customStyle="1">
    <w:name w:val="Заголовок 8 Знак"/>
    <w:basedOn w:val="70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736" w:customStyle="1">
    <w:name w:val="Заголовок 9 Знак"/>
    <w:basedOn w:val="70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737" w:customStyle="1">
    <w:name w:val="Заголовок Знак"/>
    <w:basedOn w:val="708"/>
    <w:uiPriority w:val="10"/>
    <w:qFormat/>
    <w:rPr>
      <w:sz w:val="48"/>
      <w:szCs w:val="48"/>
    </w:rPr>
  </w:style>
  <w:style w:type="character" w:styleId="738" w:customStyle="1">
    <w:name w:val="Подзаголовок Знак"/>
    <w:basedOn w:val="708"/>
    <w:uiPriority w:val="11"/>
    <w:qFormat/>
    <w:rPr>
      <w:sz w:val="24"/>
      <w:szCs w:val="24"/>
    </w:rPr>
  </w:style>
  <w:style w:type="character" w:styleId="739" w:customStyle="1">
    <w:name w:val="Цитата 2 Знак"/>
    <w:uiPriority w:val="29"/>
    <w:qFormat/>
    <w:rPr>
      <w:i/>
    </w:rPr>
  </w:style>
  <w:style w:type="character" w:styleId="740" w:customStyle="1">
    <w:name w:val="Выделенная цитата Знак"/>
    <w:uiPriority w:val="30"/>
    <w:qFormat/>
    <w:rPr>
      <w:i/>
    </w:rPr>
  </w:style>
  <w:style w:type="character" w:styleId="741" w:customStyle="1">
    <w:name w:val="Верхний колонтитул Знак"/>
    <w:basedOn w:val="708"/>
    <w:uiPriority w:val="99"/>
    <w:qFormat/>
  </w:style>
  <w:style w:type="character" w:styleId="742" w:customStyle="1">
    <w:name w:val="Нижний колонтитул Знак"/>
    <w:basedOn w:val="708"/>
    <w:uiPriority w:val="99"/>
    <w:qFormat/>
  </w:style>
  <w:style w:type="character" w:styleId="743" w:customStyle="1">
    <w:name w:val="Текст сноски Знак"/>
    <w:uiPriority w:val="99"/>
    <w:qFormat/>
    <w:rPr>
      <w:sz w:val="18"/>
    </w:rPr>
  </w:style>
  <w:style w:type="character" w:styleId="744" w:customStyle="1">
    <w:name w:val="c4"/>
    <w:qFormat/>
  </w:style>
  <w:style w:type="character" w:styleId="745">
    <w:name w:val="Символ сноски"/>
    <w:qFormat/>
  </w:style>
  <w:style w:type="character" w:styleId="746">
    <w:name w:val="Символ концевой сноски"/>
    <w:qFormat/>
  </w:style>
  <w:style w:type="paragraph" w:styleId="747">
    <w:name w:val="Заголовок"/>
    <w:basedOn w:val="693"/>
    <w:next w:val="748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748">
    <w:name w:val="Body Text"/>
    <w:basedOn w:val="693"/>
    <w:pPr>
      <w:spacing w:before="0" w:after="140" w:line="276" w:lineRule="auto"/>
    </w:pPr>
  </w:style>
  <w:style w:type="paragraph" w:styleId="749">
    <w:name w:val="List"/>
    <w:basedOn w:val="748"/>
    <w:rPr>
      <w:rFonts w:cs="Lohit Devanagari"/>
    </w:rPr>
  </w:style>
  <w:style w:type="paragraph" w:styleId="750">
    <w:name w:val="Caption"/>
    <w:basedOn w:val="693"/>
    <w:next w:val="69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751">
    <w:name w:val="Указатель"/>
    <w:basedOn w:val="693"/>
    <w:qFormat/>
    <w:pPr>
      <w:suppressLineNumbers/>
    </w:pPr>
    <w:rPr>
      <w:rFonts w:cs="Lohit Devanagari"/>
    </w:rPr>
  </w:style>
  <w:style w:type="paragraph" w:styleId="752">
    <w:name w:val="table of figures"/>
    <w:basedOn w:val="693"/>
    <w:next w:val="693"/>
    <w:uiPriority w:val="99"/>
    <w:unhideWhenUsed/>
    <w:qFormat/>
    <w:pPr>
      <w:spacing w:before="0" w:after="0" w:afterAutospacing="0"/>
    </w:pPr>
  </w:style>
  <w:style w:type="paragraph" w:styleId="753">
    <w:name w:val="endnote text"/>
    <w:basedOn w:val="69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54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755">
    <w:name w:val="Title"/>
    <w:basedOn w:val="693"/>
    <w:next w:val="69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56">
    <w:name w:val="Subtitle"/>
    <w:basedOn w:val="693"/>
    <w:next w:val="693"/>
    <w:uiPriority w:val="11"/>
    <w:qFormat/>
    <w:pPr>
      <w:spacing w:before="200" w:after="200"/>
    </w:pPr>
    <w:rPr>
      <w:sz w:val="24"/>
      <w:szCs w:val="24"/>
    </w:rPr>
  </w:style>
  <w:style w:type="paragraph" w:styleId="757">
    <w:name w:val="Quote"/>
    <w:basedOn w:val="693"/>
    <w:next w:val="693"/>
    <w:uiPriority w:val="29"/>
    <w:qFormat/>
    <w:pPr>
      <w:ind w:left="720" w:right="720" w:firstLine="0"/>
    </w:pPr>
    <w:rPr>
      <w:i/>
    </w:rPr>
  </w:style>
  <w:style w:type="paragraph" w:styleId="758">
    <w:name w:val="Intense Quote"/>
    <w:basedOn w:val="693"/>
    <w:next w:val="693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59">
    <w:name w:val="Колонтитул"/>
    <w:basedOn w:val="693"/>
    <w:qFormat/>
  </w:style>
  <w:style w:type="paragraph" w:styleId="760">
    <w:name w:val="Header"/>
    <w:basedOn w:val="69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61">
    <w:name w:val="Footer"/>
    <w:basedOn w:val="69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62">
    <w:name w:val="footnote text"/>
    <w:basedOn w:val="69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63">
    <w:name w:val="toc 1"/>
    <w:basedOn w:val="693"/>
    <w:next w:val="693"/>
    <w:uiPriority w:val="39"/>
    <w:unhideWhenUsed/>
    <w:pPr>
      <w:spacing w:before="0" w:after="57"/>
    </w:pPr>
  </w:style>
  <w:style w:type="paragraph" w:styleId="764">
    <w:name w:val="toc 2"/>
    <w:basedOn w:val="693"/>
    <w:next w:val="693"/>
    <w:uiPriority w:val="39"/>
    <w:unhideWhenUsed/>
    <w:pPr>
      <w:ind w:left="283" w:firstLine="0"/>
      <w:spacing w:before="0" w:after="57"/>
    </w:pPr>
  </w:style>
  <w:style w:type="paragraph" w:styleId="765">
    <w:name w:val="toc 3"/>
    <w:basedOn w:val="693"/>
    <w:next w:val="693"/>
    <w:uiPriority w:val="39"/>
    <w:unhideWhenUsed/>
    <w:pPr>
      <w:ind w:left="567" w:firstLine="0"/>
      <w:spacing w:before="0" w:after="57"/>
    </w:pPr>
  </w:style>
  <w:style w:type="paragraph" w:styleId="766">
    <w:name w:val="toc 4"/>
    <w:basedOn w:val="693"/>
    <w:next w:val="693"/>
    <w:uiPriority w:val="39"/>
    <w:unhideWhenUsed/>
    <w:pPr>
      <w:ind w:left="850" w:firstLine="0"/>
      <w:spacing w:before="0" w:after="57"/>
    </w:pPr>
  </w:style>
  <w:style w:type="paragraph" w:styleId="767">
    <w:name w:val="toc 5"/>
    <w:basedOn w:val="693"/>
    <w:next w:val="693"/>
    <w:uiPriority w:val="39"/>
    <w:unhideWhenUsed/>
    <w:pPr>
      <w:ind w:left="1134" w:firstLine="0"/>
      <w:spacing w:before="0" w:after="57"/>
    </w:pPr>
  </w:style>
  <w:style w:type="paragraph" w:styleId="768">
    <w:name w:val="toc 6"/>
    <w:basedOn w:val="693"/>
    <w:next w:val="693"/>
    <w:uiPriority w:val="39"/>
    <w:unhideWhenUsed/>
    <w:pPr>
      <w:ind w:left="1417" w:firstLine="0"/>
      <w:spacing w:before="0" w:after="57"/>
    </w:pPr>
  </w:style>
  <w:style w:type="paragraph" w:styleId="769">
    <w:name w:val="toc 7"/>
    <w:basedOn w:val="693"/>
    <w:next w:val="693"/>
    <w:uiPriority w:val="39"/>
    <w:unhideWhenUsed/>
    <w:pPr>
      <w:ind w:left="1701" w:firstLine="0"/>
      <w:spacing w:before="0" w:after="57"/>
    </w:pPr>
  </w:style>
  <w:style w:type="paragraph" w:styleId="770">
    <w:name w:val="toc 8"/>
    <w:basedOn w:val="693"/>
    <w:next w:val="693"/>
    <w:uiPriority w:val="39"/>
    <w:unhideWhenUsed/>
    <w:pPr>
      <w:ind w:left="1984" w:firstLine="0"/>
      <w:spacing w:before="0" w:after="57"/>
    </w:pPr>
  </w:style>
  <w:style w:type="paragraph" w:styleId="771">
    <w:name w:val="toc 9"/>
    <w:basedOn w:val="693"/>
    <w:next w:val="693"/>
    <w:uiPriority w:val="39"/>
    <w:unhideWhenUsed/>
    <w:pPr>
      <w:ind w:left="2268" w:firstLine="0"/>
      <w:spacing w:before="0" w:after="57"/>
    </w:pPr>
  </w:style>
  <w:style w:type="paragraph" w:styleId="772">
    <w:name w:val="Index Heading"/>
    <w:basedOn w:val="747"/>
  </w:style>
  <w:style w:type="paragraph" w:styleId="773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774">
    <w:name w:val="List Paragraph"/>
    <w:basedOn w:val="693"/>
    <w:uiPriority w:val="34"/>
    <w:qFormat/>
    <w:pPr>
      <w:contextualSpacing/>
      <w:ind w:left="720" w:firstLine="0"/>
      <w:spacing w:before="0" w:after="160"/>
    </w:pPr>
  </w:style>
  <w:style w:type="paragraph" w:styleId="775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</w:style>
  <w:style w:type="numbering" w:styleId="776" w:default="1">
    <w:name w:val="No List"/>
    <w:uiPriority w:val="99"/>
    <w:semiHidden/>
    <w:unhideWhenUsed/>
    <w:qFormat/>
  </w:style>
  <w:style w:type="table" w:styleId="77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78">
    <w:name w:val="Table Grid"/>
    <w:basedOn w:val="77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79" w:customStyle="1">
    <w:name w:val="Table Grid Light"/>
    <w:basedOn w:val="7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0">
    <w:name w:val="Plain Table 1"/>
    <w:basedOn w:val="7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81">
    <w:name w:val="Plain Table 2"/>
    <w:basedOn w:val="77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82">
    <w:name w:val="Plain Table 3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3">
    <w:name w:val="Plain Table 4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Plain Table 5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5">
    <w:name w:val="Grid Table 1 Light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Grid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Grid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Grid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Grid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Grid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Grid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2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2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2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2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2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2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3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3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3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3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3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3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4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7" w:customStyle="1">
    <w:name w:val="Grid Table 4 - Accent 1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808" w:customStyle="1">
    <w:name w:val="Grid Table 4 - Accent 2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809" w:customStyle="1">
    <w:name w:val="Grid Table 4 - Accent 3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810" w:customStyle="1">
    <w:name w:val="Grid Table 4 - Accent 4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811" w:customStyle="1">
    <w:name w:val="Grid Table 4 - Accent 5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12" w:customStyle="1">
    <w:name w:val="Grid Table 4 - Accent 6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13">
    <w:name w:val="Grid Table 5 Dark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814" w:customStyle="1">
    <w:name w:val="Grid Table 5 Dark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815" w:customStyle="1">
    <w:name w:val="Grid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816" w:customStyle="1">
    <w:name w:val="Grid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817" w:customStyle="1">
    <w:name w:val="Grid Table 5 Dark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818" w:customStyle="1">
    <w:name w:val="Grid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819" w:customStyle="1">
    <w:name w:val="Grid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820">
    <w:name w:val="Grid Table 6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1" w:customStyle="1">
    <w:name w:val="Grid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22" w:customStyle="1">
    <w:name w:val="Grid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23" w:customStyle="1">
    <w:name w:val="Grid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4" w:customStyle="1">
    <w:name w:val="Grid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25" w:customStyle="1">
    <w:name w:val="Grid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6" w:customStyle="1">
    <w:name w:val="Grid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7">
    <w:name w:val="Grid Table 7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Grid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Grid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1 Light - Accent 1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1 Light - Accent 2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1 Light - Accent 3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1 Light - Accent 4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1 Light - Accent 5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1 Light - Accent 6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842" w:customStyle="1">
    <w:name w:val="List Table 2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843" w:customStyle="1">
    <w:name w:val="List Table 2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844" w:customStyle="1">
    <w:name w:val="List Table 2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845" w:customStyle="1">
    <w:name w:val="List Table 2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846" w:customStyle="1">
    <w:name w:val="List Table 2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847" w:customStyle="1">
    <w:name w:val="List Table 2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848">
    <w:name w:val="List Table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3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3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3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3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3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3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4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List Table 4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List Table 4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List Table 4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List Table 4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List Table 4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5 Dark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3" w:customStyle="1">
    <w:name w:val="List Table 5 Dark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4" w:customStyle="1">
    <w:name w:val="List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5" w:customStyle="1">
    <w:name w:val="List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6" w:customStyle="1">
    <w:name w:val="List Table 5 Dark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7" w:customStyle="1">
    <w:name w:val="List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8" w:customStyle="1">
    <w:name w:val="List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69">
    <w:name w:val="List Table 6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870" w:customStyle="1">
    <w:name w:val="List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71" w:customStyle="1">
    <w:name w:val="List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872" w:customStyle="1">
    <w:name w:val="List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873" w:customStyle="1">
    <w:name w:val="List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874" w:customStyle="1">
    <w:name w:val="List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875" w:customStyle="1">
    <w:name w:val="List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876">
    <w:name w:val="List Table 7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st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List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List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 w:customStyle="1">
    <w:name w:val="List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List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List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 w:customStyle="1">
    <w:name w:val="Lined - Accent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84" w:customStyle="1">
    <w:name w:val="Lined - Accent 1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85" w:customStyle="1">
    <w:name w:val="Lined - Accent 2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86" w:customStyle="1">
    <w:name w:val="Lined - Accent 3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87" w:customStyle="1">
    <w:name w:val="Lined - Accent 4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88" w:customStyle="1">
    <w:name w:val="Lined - Accent 5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89" w:customStyle="1">
    <w:name w:val="Lined - Accent 6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90" w:customStyle="1">
    <w:name w:val="Bordered &amp; Lined - Accent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91" w:customStyle="1">
    <w:name w:val="Bordered &amp; Lined - Accent 1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92" w:customStyle="1">
    <w:name w:val="Bordered &amp; Lined - Accent 2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93" w:customStyle="1">
    <w:name w:val="Bordered &amp; Lined - Accent 3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94" w:customStyle="1">
    <w:name w:val="Bordered &amp; Lined - Accent 4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95" w:customStyle="1">
    <w:name w:val="Bordered &amp; Lined - Accent 5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96" w:customStyle="1">
    <w:name w:val="Bordered &amp; Lined - Accent 6"/>
    <w:basedOn w:val="77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97" w:customStyle="1">
    <w:name w:val="Bordered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898" w:customStyle="1">
    <w:name w:val="Bordered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99" w:customStyle="1">
    <w:name w:val="Bordered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900" w:customStyle="1">
    <w:name w:val="Bordered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901" w:customStyle="1">
    <w:name w:val="Bordered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902" w:customStyle="1">
    <w:name w:val="Bordered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903" w:customStyle="1">
    <w:name w:val="Bordered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hyperlink" Target="https://bitcoin.org/files/bitcoin-paper/bitcoin_ru.pdf" TargetMode="External"/><Relationship Id="rId12" Type="http://schemas.openxmlformats.org/officeDocument/2006/relationships/hyperlink" Target="https://web.archive.org/web/20171211072318/https://peercoin.net/assets/paper/peercoin-paper.pdf" TargetMode="External"/><Relationship Id="rId13" Type="http://schemas.openxmlformats.org/officeDocument/2006/relationships/hyperlink" Target="https://habr.com/ru/post/600113" TargetMode="External"/><Relationship Id="rId14" Type="http://schemas.openxmlformats.org/officeDocument/2006/relationships/hyperlink" Target="https://habr.com/ru/company/asus/blog/571400" TargetMode="External"/><Relationship Id="rId15" Type="http://schemas.openxmlformats.org/officeDocument/2006/relationships/hyperlink" Target="https://cyberleninka.ru/article/n/aktualnost-voprosov-energosberezheniya-na-mayning-fermah" TargetMode="External"/><Relationship Id="rId16" Type="http://schemas.openxmlformats.org/officeDocument/2006/relationships/hyperlink" Target="https://cyberleninka.ru/article/n/algoritm-konsensusa-platformy-tendermint-i-mehanizm-proof-of-lock-chang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363</cp:revision>
  <dcterms:created xsi:type="dcterms:W3CDTF">2020-12-11T02:23:00Z</dcterms:created>
  <dcterms:modified xsi:type="dcterms:W3CDTF">2022-07-07T05:08:38Z</dcterms:modified>
</cp:coreProperties>
</file>