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Базовым интересом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 </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метастазису,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w:t>
      </w:r>
      <w:r>
        <w:rPr>
          <w:rFonts w:ascii="Times New Roman" w:hAnsi="Times New Roman" w:cs="Times New Roman" w:eastAsia="Times New Roman"/>
          <w:sz w:val="24"/>
          <w:szCs w:val="24"/>
        </w:rPr>
        <w:t xml:space="preserve">коммуницировать</w:t>
      </w:r>
      <w:r>
        <w:rPr>
          <w:rFonts w:ascii="Times New Roman" w:hAnsi="Times New Roman" w:cs="Times New Roman" w:eastAsia="Times New Roman"/>
          <w:sz w:val="24"/>
          <w:szCs w:val="24"/>
        </w:rPr>
        <w:t xml:space="preserve"> под средством сервера,</w:t>
      </w:r>
      <w:r>
        <w:rPr>
          <w:rFonts w:ascii="Times New Roman" w:hAnsi="Times New Roman" w:cs="Times New Roman" w:eastAsia="Times New Roman"/>
          <w:sz w:val="24"/>
          <w:szCs w:val="24"/>
        </w:rPr>
        <w:t xml:space="preserve"> что пр</w:t>
      </w:r>
      <w:r>
        <w:rPr>
          <w:rFonts w:ascii="Times New Roman" w:hAnsi="Times New Roman" w:cs="Times New Roman" w:eastAsia="Times New Roman"/>
          <w:sz w:val="24"/>
          <w:szCs w:val="24"/>
        </w:rPr>
        <w:t xml:space="preserve">иводит их к фактическому разграничению, к взаимной анонимности под средством общей платформы. В данной ситуации стоит заметить, что анонимность и безопасность идут вразрез друг с другом, противопоставляют себя друг другу, т.к.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и в то же время, с друго</w:t>
      </w:r>
      <w:r>
        <w:rPr>
          <w:rFonts w:ascii="Times New Roman" w:hAnsi="Times New Roman" w:cs="Times New Roman" w:eastAsia="Times New Roman"/>
          <w:sz w:val="24"/>
          <w:szCs w:val="24"/>
        </w:rPr>
        <w:t xml:space="preserve">й </w:t>
      </w:r>
      <w:r>
        <w:rPr>
          <w:rFonts w:ascii="Times New Roman" w:hAnsi="Times New Roman" w:cs="Times New Roman" w:eastAsia="Times New Roman"/>
          <w:sz w:val="24"/>
          <w:szCs w:val="24"/>
        </w:rPr>
        <w:t xml:space="preserve">стороны анонимность связи клиент-клиент становится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убедиться далее.</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и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тождественной мощностью анонимности. Ч</w:t>
      </w:r>
      <w:r>
        <w:rPr>
          <w:rFonts w:ascii="Times New Roman" w:hAnsi="Times New Roman" w:cs="Times New Roman" w:eastAsia="Times New Roman"/>
          <w:sz w:val="24"/>
          <w:szCs w:val="24"/>
        </w:rPr>
        <w:t xml:space="preserve">етвёртую стадию можно вкратце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w:t>
      </w:r>
      <w:r>
        <w:rPr>
          <w:rFonts w:ascii="Times New Roman" w:hAnsi="Times New Roman" w:cs="Times New Roman" w:eastAsia="Times New Roman"/>
          <w:sz w:val="24"/>
          <w:szCs w:val="24"/>
        </w:rPr>
        <w:t xml:space="preserve">четвёртой стадии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Дополнительно может появляться свойство конфиденциальности, где информация начинает представлять собой суть секретного, скрытого, тайного, а не открытого и общего объекта. Т.к. это есть дополнительный критерий, то он может быть удалён</w:t>
      </w:r>
      <w:r>
        <w:rPr>
          <w:rFonts w:ascii="Times New Roman" w:hAnsi="Times New Roman" w:cs="Times New Roman" w:eastAsia="Times New Roman"/>
          <w:sz w:val="24"/>
          <w:szCs w:val="24"/>
        </w:rPr>
        <w:t xml:space="preserve">, если таковой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сначала происходит образование </w:t>
      </w:r>
      <w:r>
        <w:rPr>
          <w:rFonts w:ascii="Times New Roman" w:hAnsi="Times New Roman" w:cs="Times New Roman" w:eastAsia="Times New Roman"/>
          <w:sz w:val="24"/>
          <w:szCs w:val="24"/>
        </w:rPr>
        <w:t xml:space="preserve">подконтрольной </w:t>
      </w:r>
      <w:r>
        <w:rPr>
          <w:rFonts w:ascii="Times New Roman" w:hAnsi="Times New Roman" w:cs="Times New Roman" w:eastAsia="Times New Roman"/>
          <w:sz w:val="24"/>
          <w:szCs w:val="24"/>
        </w:rPr>
        <w:t xml:space="preserve">первичной сети, на основе которой будет существовать уже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w:t>
      </w:r>
      <w:r>
        <w:rPr>
          <w:rFonts w:ascii="Times New Roman" w:hAnsi="Times New Roman" w:cs="Times New Roman" w:eastAsia="Times New Roman"/>
          <w:sz w:val="24"/>
          <w:szCs w:val="24"/>
        </w:rPr>
        <w:t xml:space="preserve">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Times New Roman" w:hAnsi="Times New Roman" w:cs="Times New Roman" w:eastAsia="Times New Roman"/>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моделей.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зависимости от типа соединений, сеть на базе шестой стадии анонимности будет оставаться безопасной, даже при условии существования единственного сингулярного сервера, связывающего всех клиентов между собой. Простота построения централизованной сети в шестой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Это (в большей мере) и отличает шестую стадию анонимности от всех других скрытых сетей.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306</cp:revision>
  <dcterms:created xsi:type="dcterms:W3CDTF">2020-12-11T02:23:00Z</dcterms:created>
  <dcterms:modified xsi:type="dcterms:W3CDTF">2021-12-25T04:47:24Z</dcterms:modified>
</cp:coreProperties>
</file>