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left"/>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6"/>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2. Анонимные сети</w:t>
      </w:r>
      <w:r>
        <w:rPr>
          <w:rFonts w:ascii="Times New Roman" w:hAnsi="Times New Roman" w:cs="Times New Roman" w:eastAsia="Times New Roman"/>
          <w:i/>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6"/>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A в государство B, будет снова возвращаться на свою родину A</w:t>
      </w:r>
      <w:r>
        <w:rPr>
          <w:rStyle w:val="1436"/>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6"/>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r>
      <w:r>
        <w:rPr>
          <w:rFonts w:ascii="Times New Roman" w:hAnsi="Times New Roman" w:cs="Times New Roman" w:eastAsia="Times New Roman"/>
          <w:sz w:val="24"/>
          <w:szCs w:val="24"/>
        </w:rPr>
      </w: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 </w:t>
        <w:tab/>
        <w:tab/>
        <w:tab/>
        <w:tab/>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sz w:val="20"/>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i/>
          <w:sz w:val="16"/>
          <w:szCs w:val="24"/>
          <w:highlight w:val="none"/>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0" w:firstLine="0"/>
        <w:jc w:val="both"/>
        <w:spacing w:after="0"/>
        <w:rPr>
          <w:rFonts w:ascii="Calibri" w:hAnsi="Calibri" w:cs="Calibri" w:eastAsia="Calibri"/>
          <w:sz w:val="16"/>
        </w:rPr>
      </w:pPr>
      <w:r>
        <w:rPr>
          <w:rFonts w:ascii="Calibri" w:hAnsi="Calibri" w:cs="Calibri" w:eastAsia="Calibri"/>
          <w:i/>
          <w:sz w:val="20"/>
          <w:highlight w:val="none"/>
        </w:rPr>
      </w:r>
      <w:r>
        <w:rPr>
          <w:rFonts w:ascii="Calibri" w:hAnsi="Calibri" w:cs="Calibri" w:eastAsia="Calibri"/>
          <w:sz w:val="16"/>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C </w:t>
      </w:r>
      <w:r>
        <w:rPr>
          <w:rFonts w:ascii="Calibri" w:hAnsi="Calibri" w:cs="Calibri" w:eastAsia="Calibri"/>
          <w:i/>
          <w:sz w:val="20"/>
        </w:rPr>
        <w:t xml:space="preserve">→</w:t>
      </w:r>
      <w:r>
        <w:rPr>
          <w:rFonts w:ascii="Calibri" w:hAnsi="Calibri" w:cs="Calibri" w:eastAsia="Calibri"/>
          <w:i/>
          <w:sz w:val="20"/>
          <w:szCs w:val="24"/>
        </w:rPr>
        <w:t xml:space="preserve"> A </w:t>
      </w:r>
      <w:r>
        <w:rPr>
          <w:rFonts w:ascii="Calibri" w:hAnsi="Calibri" w:cs="Calibri" w:eastAsia="Calibri"/>
          <w:i/>
          <w:sz w:val="20"/>
          <w:szCs w:val="24"/>
        </w:rPr>
        <w:t xml:space="preserve">ИЛИ C</w:t>
      </w:r>
      <w:r>
        <w:rPr>
          <w:rFonts w:ascii="Calibri" w:hAnsi="Calibri" w:cs="Calibri" w:eastAsia="Calibri"/>
          <w:i/>
          <w:sz w:val="20"/>
        </w:rPr>
        <w:t xml:space="preserve"> → </w:t>
      </w:r>
      <w:r>
        <w:rPr>
          <w:rFonts w:ascii="Calibri" w:hAnsi="Calibri" w:cs="Calibri" w:eastAsia="Calibri"/>
          <w:i/>
          <w:sz w:val="20"/>
          <w:szCs w:val="24"/>
        </w:rPr>
        <w:t xml:space="preserve">B</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w:t>
        <w:tab/>
        <w:tab/>
        <w:tab/>
        <w:t xml:space="preserve">2, 3. [запрос(2)] </w:t>
      </w:r>
      <w:r>
        <w:rPr>
          <w:rFonts w:ascii="Calibri" w:hAnsi="Calibri" w:cs="Calibri" w:eastAsia="Calibri"/>
          <w:i/>
          <w:sz w:val="20"/>
        </w:rPr>
        <w:t xml:space="preserve">→ </w:t>
      </w:r>
      <w:r>
        <w:rPr>
          <w:rFonts w:ascii="Calibri" w:hAnsi="Calibri" w:cs="Calibri" w:eastAsia="Calibri"/>
          <w:sz w:val="20"/>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C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 xml:space="preserve">2. [ответ(2)]</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 </w:t>
      </w:r>
      <w:r>
        <w:rPr>
          <w:rFonts w:ascii="Calibri" w:hAnsi="Calibri" w:cs="Calibri" w:eastAsia="Calibri"/>
          <w:i w:val="false"/>
          <w:sz w:val="20"/>
        </w:rPr>
        <w:t xml:space="preserve">...</w:t>
      </w:r>
      <w:r>
        <w:rPr>
          <w:rFonts w:ascii="Calibri" w:hAnsi="Calibri" w:cs="Calibri" w:eastAsia="Calibri"/>
          <w:sz w:val="16"/>
          <w:szCs w:val="24"/>
          <w:highlight w:val="none"/>
        </w:rPr>
      </w:r>
      <w:r/>
      <w:r>
        <w:rPr>
          <w:rFonts w:ascii="Calibri" w:hAnsi="Calibri" w:cs="Calibri" w:eastAsia="Calibri"/>
          <w:sz w:val="20"/>
          <w:szCs w:val="24"/>
          <w:highlight w:val="none"/>
        </w:rPr>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невозможно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(со стороны вероятности)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6"/>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созданная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rFonts w:ascii="Times New Roman" w:hAnsi="Times New Roman" w:cs="Times New Roman" w:eastAsia="Times New Roman"/>
          <w:sz w:val="24"/>
          <w:highlight w:val="none"/>
        </w:rPr>
      </w:r>
      <w:r>
        <w:rPr>
          <w:sz w:val="24"/>
        </w:rP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r>
      <w:r>
        <w:rPr>
          <w:sz w:val="24"/>
        </w:rP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sz w:val="24"/>
        </w:rP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rFonts w:ascii="Times New Roman" w:hAnsi="Times New Roman" w:cs="Times New Roman" w:eastAsia="Times New Roman"/>
          <w:sz w:val="24"/>
          <w:highlight w:val="none"/>
        </w:rPr>
      </w:r>
      <w:r>
        <w:rPr>
          <w:sz w:val="24"/>
        </w:rP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r>
      <w:r>
        <w:rPr>
          <w:sz w:val="24"/>
        </w:rP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Pr>
          <w:sz w:val="24"/>
        </w:rP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Pr>
          <w:sz w:val="24"/>
        </w:rP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4.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left"/>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Во-вторых,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равняется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Образуя зацикленность из трёх элементов, автоматически образуется и схожесть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анализе единства данных соединений.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A, B, C, D</w:t>
      </w:r>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p>
    <w:p>
      <w:pPr>
        <w:ind w:firstLine="708"/>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Проблематика анонимных сетей</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6. Тайные каналы связи</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Протокол безопасной передачи информации </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Заключение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t xml:space="preserve">9</w:t>
      </w:r>
      <w:r>
        <w:rPr>
          <w:rFonts w:ascii="Times New Roman" w:hAnsi="Times New Roman" w:cs="Times New Roman" w:eastAsia="Times New Roman"/>
          <w:b/>
          <w:sz w:val="28"/>
          <w:szCs w:val="24"/>
        </w:rPr>
        <w:t xml:space="preserve">. 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3"/>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3"/>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8"/>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Style w:val="1448"/>
          <w:rFonts w:ascii="Times New Roman" w:hAnsi="Times New Roman" w:cs="Times New Roman" w:eastAsia="Times New Roman"/>
          <w:color w:val="000000"/>
          <w:sz w:val="24"/>
          <w:highlight w:val="none"/>
        </w:rPr>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А.А.,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Б.У. Язык программирования </w:t>
      </w:r>
      <w:r>
        <w:rPr>
          <w:rStyle w:val="1448"/>
          <w:rFonts w:ascii="Times New Roman" w:hAnsi="Times New Roman" w:cs="Times New Roman" w:eastAsia="Times New Roman"/>
          <w:color w:val="000000"/>
          <w:sz w:val="24"/>
        </w:rPr>
        <w:t xml:space="preserve">Go</w:t>
      </w:r>
      <w:r>
        <w:rPr>
          <w:rStyle w:val="1448"/>
          <w:rFonts w:ascii="Times New Roman" w:hAnsi="Times New Roman" w:cs="Times New Roman" w:eastAsia="Times New Roman"/>
          <w:color w:val="000000"/>
          <w:sz w:val="24"/>
        </w:rPr>
        <w:t xml:space="preserve"> / А.А. </w:t>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Б.У.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9"/>
        <w:numPr>
          <w:ilvl w:val="0"/>
          <w:numId w:val="52"/>
        </w:numPr>
        <w:jc w:val="both"/>
        <w:spacing w:after="0" w:afterAutospacing="0" w:beforeAutospacing="0"/>
        <w:shd w:val="clear" w:color="FFFFFF" w:fill="FFFFFF"/>
        <w:rPr>
          <w:color w:val="000000"/>
        </w:rPr>
      </w:pPr>
      <w:r>
        <w:rPr>
          <w:rStyle w:val="1448"/>
          <w:color w:val="000000"/>
          <w:sz w:val="24"/>
        </w:rPr>
        <w:t xml:space="preserve">Шнайер</w:t>
      </w:r>
      <w:r>
        <w:rPr>
          <w:rStyle w:val="1448"/>
          <w:color w:val="000000"/>
          <w:sz w:val="24"/>
        </w:rPr>
        <w:t xml:space="preserve">, Б. Прикладная криптография. Протоколы, алгоритмы и исходные коды на языке C / Б. </w:t>
      </w:r>
      <w:r>
        <w:rPr>
          <w:rStyle w:val="1448"/>
          <w:color w:val="000000"/>
          <w:sz w:val="24"/>
        </w:rPr>
        <w:t xml:space="preserve">Шнайер</w:t>
      </w:r>
      <w:r>
        <w:rPr>
          <w:rStyle w:val="1448"/>
          <w:color w:val="000000"/>
          <w:sz w:val="24"/>
        </w:rPr>
        <w:t xml:space="preserve">. — </w:t>
      </w:r>
      <w:r>
        <w:rPr>
          <w:rStyle w:val="1448"/>
          <w:color w:val="000000"/>
          <w:sz w:val="24"/>
        </w:rPr>
        <w:t xml:space="preserve">СпБ</w:t>
      </w:r>
      <w:r>
        <w:rPr>
          <w:rStyle w:val="1448"/>
          <w:color w:val="000000"/>
          <w:sz w:val="24"/>
        </w:rPr>
        <w:t xml:space="preserve">.: ООО «Альфа-книга», 2018. - 1040 с.</w:t>
      </w:r>
      <w:r>
        <w:rPr>
          <w:rStyle w:val="1448"/>
        </w:rPr>
      </w:r>
      <w:r/>
    </w:p>
    <w:p>
      <w:pPr>
        <w:pStyle w:val="1449"/>
        <w:jc w:val="both"/>
        <w:spacing w:after="0" w:afterAutospacing="0" w:beforeAutospacing="0"/>
        <w:shd w:val="clear" w:color="FFFFFF" w:fill="FFFFFF"/>
      </w:pPr>
      <w:r/>
      <w:r/>
    </w:p>
    <w:p>
      <w:pPr>
        <w:pStyle w:val="1449"/>
        <w:jc w:val="both"/>
        <w:spacing w:after="0" w:afterAutospacing="0" w:beforeAutospacing="0"/>
        <w:shd w:val="clear" w:color="FFFFFF" w:fill="FFFFFF"/>
        <w:rPr>
          <w:sz w:val="24"/>
        </w:rPr>
      </w:pP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5"/>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саморасширяющейся системы, основанной полностью на криптографических алгоритмах, без использования промежуточных субъектов, удостоверяющих идентификацию всех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в открытом виде для данных узлов.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p>
  </w:footnote>
  <w:footnote w:id="9">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Style w:val="1436"/>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4"/>
        <w:ind w:firstLine="708"/>
        <w:jc w:val="both"/>
        <w:rPr>
          <w:rFonts w:ascii="Times New Roman" w:hAnsi="Times New Roman" w:cs="Times New Roman" w:eastAsia="Times New Roman"/>
          <w:sz w:val="22"/>
          <w:szCs w:val="24"/>
          <w:highlight w:val="none"/>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9">
    <w:name w:val="table of figures"/>
    <w:basedOn w:val="1250"/>
    <w:next w:val="1250"/>
    <w:uiPriority w:val="99"/>
    <w:unhideWhenUsed/>
    <w:pPr>
      <w:spacing w:after="0" w:afterAutospacing="0"/>
    </w:pPr>
  </w:style>
  <w:style w:type="paragraph" w:styleId="1250" w:default="1">
    <w:name w:val="Normal"/>
    <w:qFormat/>
  </w:style>
  <w:style w:type="paragraph" w:styleId="1251">
    <w:name w:val="Heading 1"/>
    <w:basedOn w:val="1250"/>
    <w:next w:val="1250"/>
    <w:link w:val="1285"/>
    <w:qFormat/>
    <w:uiPriority w:val="9"/>
    <w:rPr>
      <w:rFonts w:ascii="Arial" w:hAnsi="Arial" w:cs="Arial" w:eastAsia="Arial"/>
      <w:sz w:val="40"/>
      <w:szCs w:val="40"/>
    </w:rPr>
    <w:pPr>
      <w:keepLines/>
      <w:keepNext/>
      <w:spacing w:after="200" w:before="480"/>
      <w:outlineLvl w:val="0"/>
    </w:pPr>
  </w:style>
  <w:style w:type="paragraph" w:styleId="1252">
    <w:name w:val="Heading 2"/>
    <w:basedOn w:val="1250"/>
    <w:next w:val="1250"/>
    <w:link w:val="1286"/>
    <w:qFormat/>
    <w:uiPriority w:val="9"/>
    <w:unhideWhenUsed/>
    <w:rPr>
      <w:rFonts w:ascii="Arial" w:hAnsi="Arial" w:cs="Arial" w:eastAsia="Arial"/>
      <w:sz w:val="34"/>
    </w:rPr>
    <w:pPr>
      <w:keepLines/>
      <w:keepNext/>
      <w:spacing w:after="200" w:before="360"/>
      <w:outlineLvl w:val="1"/>
    </w:pPr>
  </w:style>
  <w:style w:type="paragraph" w:styleId="1253">
    <w:name w:val="Heading 3"/>
    <w:basedOn w:val="1250"/>
    <w:next w:val="1250"/>
    <w:link w:val="1287"/>
    <w:qFormat/>
    <w:uiPriority w:val="9"/>
    <w:unhideWhenUsed/>
    <w:rPr>
      <w:rFonts w:ascii="Arial" w:hAnsi="Arial" w:cs="Arial" w:eastAsia="Arial"/>
      <w:sz w:val="30"/>
      <w:szCs w:val="30"/>
    </w:rPr>
    <w:pPr>
      <w:keepLines/>
      <w:keepNext/>
      <w:spacing w:after="200" w:before="320"/>
      <w:outlineLvl w:val="2"/>
    </w:pPr>
  </w:style>
  <w:style w:type="paragraph" w:styleId="1254">
    <w:name w:val="Heading 4"/>
    <w:basedOn w:val="1250"/>
    <w:next w:val="1250"/>
    <w:link w:val="1288"/>
    <w:qFormat/>
    <w:uiPriority w:val="9"/>
    <w:unhideWhenUsed/>
    <w:rPr>
      <w:rFonts w:ascii="Arial" w:hAnsi="Arial" w:cs="Arial" w:eastAsia="Arial"/>
      <w:b/>
      <w:bCs/>
      <w:sz w:val="26"/>
      <w:szCs w:val="26"/>
    </w:rPr>
    <w:pPr>
      <w:keepLines/>
      <w:keepNext/>
      <w:spacing w:after="200" w:before="320"/>
      <w:outlineLvl w:val="3"/>
    </w:pPr>
  </w:style>
  <w:style w:type="paragraph" w:styleId="1255">
    <w:name w:val="Heading 5"/>
    <w:basedOn w:val="1250"/>
    <w:next w:val="1250"/>
    <w:link w:val="1289"/>
    <w:qFormat/>
    <w:uiPriority w:val="9"/>
    <w:unhideWhenUsed/>
    <w:rPr>
      <w:rFonts w:ascii="Arial" w:hAnsi="Arial" w:cs="Arial" w:eastAsia="Arial"/>
      <w:b/>
      <w:bCs/>
      <w:sz w:val="24"/>
      <w:szCs w:val="24"/>
    </w:rPr>
    <w:pPr>
      <w:keepLines/>
      <w:keepNext/>
      <w:spacing w:after="200" w:before="320"/>
      <w:outlineLvl w:val="4"/>
    </w:pPr>
  </w:style>
  <w:style w:type="paragraph" w:styleId="1256">
    <w:name w:val="Heading 6"/>
    <w:basedOn w:val="1250"/>
    <w:next w:val="1250"/>
    <w:link w:val="1290"/>
    <w:qFormat/>
    <w:uiPriority w:val="9"/>
    <w:unhideWhenUsed/>
    <w:rPr>
      <w:rFonts w:ascii="Arial" w:hAnsi="Arial" w:cs="Arial" w:eastAsia="Arial"/>
      <w:b/>
      <w:bCs/>
    </w:rPr>
    <w:pPr>
      <w:keepLines/>
      <w:keepNext/>
      <w:spacing w:after="200" w:before="320"/>
      <w:outlineLvl w:val="5"/>
    </w:pPr>
  </w:style>
  <w:style w:type="paragraph" w:styleId="1257">
    <w:name w:val="Heading 7"/>
    <w:basedOn w:val="1250"/>
    <w:next w:val="1250"/>
    <w:link w:val="1291"/>
    <w:qFormat/>
    <w:uiPriority w:val="9"/>
    <w:unhideWhenUsed/>
    <w:rPr>
      <w:rFonts w:ascii="Arial" w:hAnsi="Arial" w:cs="Arial" w:eastAsia="Arial"/>
      <w:b/>
      <w:bCs/>
      <w:i/>
      <w:iCs/>
    </w:rPr>
    <w:pPr>
      <w:keepLines/>
      <w:keepNext/>
      <w:spacing w:after="200" w:before="320"/>
      <w:outlineLvl w:val="6"/>
    </w:pPr>
  </w:style>
  <w:style w:type="paragraph" w:styleId="1258">
    <w:name w:val="Heading 8"/>
    <w:basedOn w:val="1250"/>
    <w:next w:val="1250"/>
    <w:link w:val="1292"/>
    <w:qFormat/>
    <w:uiPriority w:val="9"/>
    <w:unhideWhenUsed/>
    <w:rPr>
      <w:rFonts w:ascii="Arial" w:hAnsi="Arial" w:cs="Arial" w:eastAsia="Arial"/>
      <w:i/>
      <w:iCs/>
    </w:rPr>
    <w:pPr>
      <w:keepLines/>
      <w:keepNext/>
      <w:spacing w:after="200" w:before="320"/>
      <w:outlineLvl w:val="7"/>
    </w:pPr>
  </w:style>
  <w:style w:type="paragraph" w:styleId="1259">
    <w:name w:val="Heading 9"/>
    <w:basedOn w:val="1250"/>
    <w:next w:val="1250"/>
    <w:link w:val="1293"/>
    <w:qFormat/>
    <w:uiPriority w:val="9"/>
    <w:unhideWhenUsed/>
    <w:rPr>
      <w:rFonts w:ascii="Arial" w:hAnsi="Arial" w:cs="Arial" w:eastAsia="Arial"/>
      <w:i/>
      <w:iCs/>
      <w:sz w:val="21"/>
      <w:szCs w:val="21"/>
    </w:rPr>
    <w:pPr>
      <w:keepLines/>
      <w:keepNext/>
      <w:spacing w:after="200" w:before="320"/>
      <w:outlineLvl w:val="8"/>
    </w:pPr>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customStyle="1">
    <w:name w:val="Heading 1 Char"/>
    <w:basedOn w:val="1260"/>
    <w:uiPriority w:val="9"/>
    <w:rPr>
      <w:rFonts w:ascii="Arial" w:hAnsi="Arial" w:cs="Arial" w:eastAsia="Arial"/>
      <w:sz w:val="40"/>
      <w:szCs w:val="40"/>
    </w:rPr>
  </w:style>
  <w:style w:type="character" w:styleId="1264" w:customStyle="1">
    <w:name w:val="Heading 2 Char"/>
    <w:basedOn w:val="1260"/>
    <w:uiPriority w:val="9"/>
    <w:rPr>
      <w:rFonts w:ascii="Arial" w:hAnsi="Arial" w:cs="Arial" w:eastAsia="Arial"/>
      <w:sz w:val="34"/>
    </w:rPr>
  </w:style>
  <w:style w:type="character" w:styleId="1265" w:customStyle="1">
    <w:name w:val="Heading 3 Char"/>
    <w:basedOn w:val="1260"/>
    <w:uiPriority w:val="9"/>
    <w:rPr>
      <w:rFonts w:ascii="Arial" w:hAnsi="Arial" w:cs="Arial" w:eastAsia="Arial"/>
      <w:sz w:val="30"/>
      <w:szCs w:val="30"/>
    </w:rPr>
  </w:style>
  <w:style w:type="character" w:styleId="1266" w:customStyle="1">
    <w:name w:val="Heading 4 Char"/>
    <w:basedOn w:val="1260"/>
    <w:uiPriority w:val="9"/>
    <w:rPr>
      <w:rFonts w:ascii="Arial" w:hAnsi="Arial" w:cs="Arial" w:eastAsia="Arial"/>
      <w:b/>
      <w:bCs/>
      <w:sz w:val="26"/>
      <w:szCs w:val="26"/>
    </w:rPr>
  </w:style>
  <w:style w:type="character" w:styleId="1267" w:customStyle="1">
    <w:name w:val="Heading 5 Char"/>
    <w:basedOn w:val="1260"/>
    <w:uiPriority w:val="9"/>
    <w:rPr>
      <w:rFonts w:ascii="Arial" w:hAnsi="Arial" w:cs="Arial" w:eastAsia="Arial"/>
      <w:b/>
      <w:bCs/>
      <w:sz w:val="24"/>
      <w:szCs w:val="24"/>
    </w:rPr>
  </w:style>
  <w:style w:type="character" w:styleId="1268" w:customStyle="1">
    <w:name w:val="Heading 6 Char"/>
    <w:basedOn w:val="1260"/>
    <w:uiPriority w:val="9"/>
    <w:rPr>
      <w:rFonts w:ascii="Arial" w:hAnsi="Arial" w:cs="Arial" w:eastAsia="Arial"/>
      <w:b/>
      <w:bCs/>
      <w:sz w:val="22"/>
      <w:szCs w:val="22"/>
    </w:rPr>
  </w:style>
  <w:style w:type="character" w:styleId="1269" w:customStyle="1">
    <w:name w:val="Heading 7 Char"/>
    <w:basedOn w:val="1260"/>
    <w:uiPriority w:val="9"/>
    <w:rPr>
      <w:rFonts w:ascii="Arial" w:hAnsi="Arial" w:cs="Arial" w:eastAsia="Arial"/>
      <w:b/>
      <w:bCs/>
      <w:i/>
      <w:iCs/>
      <w:sz w:val="22"/>
      <w:szCs w:val="22"/>
    </w:rPr>
  </w:style>
  <w:style w:type="character" w:styleId="1270" w:customStyle="1">
    <w:name w:val="Heading 8 Char"/>
    <w:basedOn w:val="1260"/>
    <w:uiPriority w:val="9"/>
    <w:rPr>
      <w:rFonts w:ascii="Arial" w:hAnsi="Arial" w:cs="Arial" w:eastAsia="Arial"/>
      <w:i/>
      <w:iCs/>
      <w:sz w:val="22"/>
      <w:szCs w:val="22"/>
    </w:rPr>
  </w:style>
  <w:style w:type="character" w:styleId="1271" w:customStyle="1">
    <w:name w:val="Heading 9 Char"/>
    <w:basedOn w:val="1260"/>
    <w:uiPriority w:val="9"/>
    <w:rPr>
      <w:rFonts w:ascii="Arial" w:hAnsi="Arial" w:cs="Arial" w:eastAsia="Arial"/>
      <w:i/>
      <w:iCs/>
      <w:sz w:val="21"/>
      <w:szCs w:val="21"/>
    </w:rPr>
  </w:style>
  <w:style w:type="character" w:styleId="1272" w:customStyle="1">
    <w:name w:val="Title Char"/>
    <w:basedOn w:val="1260"/>
    <w:uiPriority w:val="10"/>
    <w:rPr>
      <w:sz w:val="48"/>
      <w:szCs w:val="48"/>
    </w:rPr>
  </w:style>
  <w:style w:type="character" w:styleId="1273" w:customStyle="1">
    <w:name w:val="Subtitle Char"/>
    <w:basedOn w:val="1260"/>
    <w:uiPriority w:val="11"/>
    <w:rPr>
      <w:sz w:val="24"/>
      <w:szCs w:val="24"/>
    </w:rPr>
  </w:style>
  <w:style w:type="character" w:styleId="1274" w:customStyle="1">
    <w:name w:val="Quote Char"/>
    <w:uiPriority w:val="29"/>
    <w:rPr>
      <w:i/>
    </w:rPr>
  </w:style>
  <w:style w:type="character" w:styleId="1275" w:customStyle="1">
    <w:name w:val="Intense Quote Char"/>
    <w:uiPriority w:val="30"/>
    <w:rPr>
      <w:i/>
    </w:rPr>
  </w:style>
  <w:style w:type="character" w:styleId="1276" w:customStyle="1">
    <w:name w:val="Header Char"/>
    <w:basedOn w:val="1260"/>
    <w:uiPriority w:val="99"/>
  </w:style>
  <w:style w:type="character" w:styleId="1277" w:customStyle="1">
    <w:name w:val="Footer Char"/>
    <w:basedOn w:val="1260"/>
    <w:uiPriority w:val="99"/>
  </w:style>
  <w:style w:type="character" w:styleId="1278" w:customStyle="1">
    <w:name w:val="Footnote Text Char"/>
    <w:uiPriority w:val="99"/>
    <w:rPr>
      <w:sz w:val="18"/>
    </w:rPr>
  </w:style>
  <w:style w:type="character" w:styleId="1279" w:customStyle="1">
    <w:name w:val="Endnote Text Char"/>
    <w:uiPriority w:val="99"/>
    <w:rPr>
      <w:sz w:val="20"/>
    </w:rPr>
  </w:style>
  <w:style w:type="paragraph" w:styleId="1280">
    <w:name w:val="Caption"/>
    <w:basedOn w:val="1250"/>
    <w:next w:val="1250"/>
    <w:qFormat/>
    <w:uiPriority w:val="35"/>
    <w:semiHidden/>
    <w:unhideWhenUsed/>
    <w:rPr>
      <w:b/>
      <w:bCs/>
      <w:color w:val="4472C4" w:themeColor="accent1"/>
      <w:sz w:val="18"/>
      <w:szCs w:val="18"/>
    </w:rPr>
    <w:pPr>
      <w:spacing w:lineRule="auto" w:line="276"/>
    </w:pPr>
  </w:style>
  <w:style w:type="character" w:styleId="1281" w:customStyle="1">
    <w:name w:val="Caption Char"/>
    <w:uiPriority w:val="99"/>
  </w:style>
  <w:style w:type="paragraph" w:styleId="1282">
    <w:name w:val="endnote text"/>
    <w:basedOn w:val="1250"/>
    <w:link w:val="1283"/>
    <w:uiPriority w:val="99"/>
    <w:semiHidden/>
    <w:unhideWhenUsed/>
    <w:rPr>
      <w:sz w:val="20"/>
    </w:rPr>
    <w:pPr>
      <w:spacing w:lineRule="auto" w:line="240" w:after="0"/>
    </w:pPr>
  </w:style>
  <w:style w:type="character" w:styleId="1283" w:customStyle="1">
    <w:name w:val="Текст концевой сноски Знак"/>
    <w:link w:val="1282"/>
    <w:uiPriority w:val="99"/>
    <w:rPr>
      <w:sz w:val="20"/>
    </w:rPr>
  </w:style>
  <w:style w:type="character" w:styleId="1284">
    <w:name w:val="endnote reference"/>
    <w:basedOn w:val="1260"/>
    <w:uiPriority w:val="99"/>
    <w:semiHidden/>
    <w:unhideWhenUsed/>
    <w:rPr>
      <w:vertAlign w:val="superscript"/>
    </w:rPr>
  </w:style>
  <w:style w:type="character" w:styleId="1285" w:customStyle="1">
    <w:name w:val="Заголовок 1 Знак"/>
    <w:basedOn w:val="1260"/>
    <w:link w:val="1251"/>
    <w:uiPriority w:val="9"/>
    <w:rPr>
      <w:rFonts w:ascii="Arial" w:hAnsi="Arial" w:cs="Arial" w:eastAsia="Arial"/>
      <w:sz w:val="40"/>
      <w:szCs w:val="40"/>
    </w:rPr>
  </w:style>
  <w:style w:type="character" w:styleId="1286" w:customStyle="1">
    <w:name w:val="Заголовок 2 Знак"/>
    <w:basedOn w:val="1260"/>
    <w:link w:val="1252"/>
    <w:uiPriority w:val="9"/>
    <w:rPr>
      <w:rFonts w:ascii="Arial" w:hAnsi="Arial" w:cs="Arial" w:eastAsia="Arial"/>
      <w:sz w:val="34"/>
    </w:rPr>
  </w:style>
  <w:style w:type="character" w:styleId="1287" w:customStyle="1">
    <w:name w:val="Заголовок 3 Знак"/>
    <w:basedOn w:val="1260"/>
    <w:link w:val="1253"/>
    <w:uiPriority w:val="9"/>
    <w:rPr>
      <w:rFonts w:ascii="Arial" w:hAnsi="Arial" w:cs="Arial" w:eastAsia="Arial"/>
      <w:sz w:val="30"/>
      <w:szCs w:val="30"/>
    </w:rPr>
  </w:style>
  <w:style w:type="character" w:styleId="1288" w:customStyle="1">
    <w:name w:val="Заголовок 4 Знак"/>
    <w:basedOn w:val="1260"/>
    <w:link w:val="1254"/>
    <w:uiPriority w:val="9"/>
    <w:rPr>
      <w:rFonts w:ascii="Arial" w:hAnsi="Arial" w:cs="Arial" w:eastAsia="Arial"/>
      <w:b/>
      <w:bCs/>
      <w:sz w:val="26"/>
      <w:szCs w:val="26"/>
    </w:rPr>
  </w:style>
  <w:style w:type="character" w:styleId="1289" w:customStyle="1">
    <w:name w:val="Заголовок 5 Знак"/>
    <w:basedOn w:val="1260"/>
    <w:link w:val="1255"/>
    <w:uiPriority w:val="9"/>
    <w:rPr>
      <w:rFonts w:ascii="Arial" w:hAnsi="Arial" w:cs="Arial" w:eastAsia="Arial"/>
      <w:b/>
      <w:bCs/>
      <w:sz w:val="24"/>
      <w:szCs w:val="24"/>
    </w:rPr>
  </w:style>
  <w:style w:type="character" w:styleId="1290" w:customStyle="1">
    <w:name w:val="Заголовок 6 Знак"/>
    <w:basedOn w:val="1260"/>
    <w:link w:val="1256"/>
    <w:uiPriority w:val="9"/>
    <w:rPr>
      <w:rFonts w:ascii="Arial" w:hAnsi="Arial" w:cs="Arial" w:eastAsia="Arial"/>
      <w:b/>
      <w:bCs/>
      <w:sz w:val="22"/>
      <w:szCs w:val="22"/>
    </w:rPr>
  </w:style>
  <w:style w:type="character" w:styleId="1291" w:customStyle="1">
    <w:name w:val="Заголовок 7 Знак"/>
    <w:basedOn w:val="1260"/>
    <w:link w:val="1257"/>
    <w:uiPriority w:val="9"/>
    <w:rPr>
      <w:rFonts w:ascii="Arial" w:hAnsi="Arial" w:cs="Arial" w:eastAsia="Arial"/>
      <w:b/>
      <w:bCs/>
      <w:i/>
      <w:iCs/>
      <w:sz w:val="22"/>
      <w:szCs w:val="22"/>
    </w:rPr>
  </w:style>
  <w:style w:type="character" w:styleId="1292" w:customStyle="1">
    <w:name w:val="Заголовок 8 Знак"/>
    <w:basedOn w:val="1260"/>
    <w:link w:val="1258"/>
    <w:uiPriority w:val="9"/>
    <w:rPr>
      <w:rFonts w:ascii="Arial" w:hAnsi="Arial" w:cs="Arial" w:eastAsia="Arial"/>
      <w:i/>
      <w:iCs/>
      <w:sz w:val="22"/>
      <w:szCs w:val="22"/>
    </w:rPr>
  </w:style>
  <w:style w:type="character" w:styleId="1293" w:customStyle="1">
    <w:name w:val="Заголовок 9 Знак"/>
    <w:basedOn w:val="1260"/>
    <w:link w:val="1259"/>
    <w:uiPriority w:val="9"/>
    <w:rPr>
      <w:rFonts w:ascii="Arial" w:hAnsi="Arial" w:cs="Arial" w:eastAsia="Arial"/>
      <w:i/>
      <w:iCs/>
      <w:sz w:val="21"/>
      <w:szCs w:val="21"/>
    </w:rPr>
  </w:style>
  <w:style w:type="paragraph" w:styleId="1294">
    <w:name w:val="No Spacing"/>
    <w:qFormat/>
    <w:uiPriority w:val="1"/>
    <w:pPr>
      <w:spacing w:lineRule="auto" w:line="240" w:after="0"/>
    </w:pPr>
  </w:style>
  <w:style w:type="paragraph" w:styleId="1295">
    <w:name w:val="Title"/>
    <w:basedOn w:val="1250"/>
    <w:next w:val="1250"/>
    <w:link w:val="1296"/>
    <w:qFormat/>
    <w:uiPriority w:val="10"/>
    <w:rPr>
      <w:sz w:val="48"/>
      <w:szCs w:val="48"/>
    </w:rPr>
    <w:pPr>
      <w:contextualSpacing w:val="true"/>
      <w:spacing w:after="200" w:before="300"/>
    </w:pPr>
  </w:style>
  <w:style w:type="character" w:styleId="1296" w:customStyle="1">
    <w:name w:val="Заголовок Знак"/>
    <w:basedOn w:val="1260"/>
    <w:link w:val="1295"/>
    <w:uiPriority w:val="10"/>
    <w:rPr>
      <w:sz w:val="48"/>
      <w:szCs w:val="48"/>
    </w:rPr>
  </w:style>
  <w:style w:type="paragraph" w:styleId="1297">
    <w:name w:val="Subtitle"/>
    <w:basedOn w:val="1250"/>
    <w:next w:val="1250"/>
    <w:link w:val="1298"/>
    <w:qFormat/>
    <w:uiPriority w:val="11"/>
    <w:rPr>
      <w:sz w:val="24"/>
      <w:szCs w:val="24"/>
    </w:rPr>
    <w:pPr>
      <w:spacing w:after="200" w:before="200"/>
    </w:pPr>
  </w:style>
  <w:style w:type="character" w:styleId="1298" w:customStyle="1">
    <w:name w:val="Подзаголовок Знак"/>
    <w:basedOn w:val="1260"/>
    <w:link w:val="1297"/>
    <w:uiPriority w:val="11"/>
    <w:rPr>
      <w:sz w:val="24"/>
      <w:szCs w:val="24"/>
    </w:rPr>
  </w:style>
  <w:style w:type="paragraph" w:styleId="1299">
    <w:name w:val="Quote"/>
    <w:basedOn w:val="1250"/>
    <w:next w:val="1250"/>
    <w:link w:val="1300"/>
    <w:qFormat/>
    <w:uiPriority w:val="29"/>
    <w:rPr>
      <w:i/>
    </w:rPr>
    <w:pPr>
      <w:ind w:left="720" w:right="720"/>
    </w:pPr>
  </w:style>
  <w:style w:type="character" w:styleId="1300" w:customStyle="1">
    <w:name w:val="Цитата 2 Знак"/>
    <w:link w:val="1299"/>
    <w:uiPriority w:val="29"/>
    <w:rPr>
      <w:i/>
    </w:rPr>
  </w:style>
  <w:style w:type="paragraph" w:styleId="1301">
    <w:name w:val="Intense Quote"/>
    <w:basedOn w:val="1250"/>
    <w:next w:val="1250"/>
    <w:link w:val="1302"/>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2" w:customStyle="1">
    <w:name w:val="Выделенная цитата Знак"/>
    <w:link w:val="1301"/>
    <w:uiPriority w:val="30"/>
    <w:rPr>
      <w:i/>
    </w:rPr>
  </w:style>
  <w:style w:type="paragraph" w:styleId="1303">
    <w:name w:val="Header"/>
    <w:basedOn w:val="1250"/>
    <w:link w:val="1304"/>
    <w:uiPriority w:val="99"/>
    <w:unhideWhenUsed/>
    <w:pPr>
      <w:spacing w:lineRule="auto" w:line="240" w:after="0"/>
      <w:tabs>
        <w:tab w:val="center" w:pos="7143" w:leader="none"/>
        <w:tab w:val="right" w:pos="14287" w:leader="none"/>
      </w:tabs>
    </w:pPr>
  </w:style>
  <w:style w:type="character" w:styleId="1304" w:customStyle="1">
    <w:name w:val="Верхний колонтитул Знак"/>
    <w:basedOn w:val="1260"/>
    <w:link w:val="1303"/>
    <w:uiPriority w:val="99"/>
  </w:style>
  <w:style w:type="paragraph" w:styleId="1305">
    <w:name w:val="Footer"/>
    <w:basedOn w:val="1250"/>
    <w:link w:val="1306"/>
    <w:uiPriority w:val="99"/>
    <w:unhideWhenUsed/>
    <w:pPr>
      <w:spacing w:lineRule="auto" w:line="240" w:after="0"/>
      <w:tabs>
        <w:tab w:val="center" w:pos="7143" w:leader="none"/>
        <w:tab w:val="right" w:pos="14287" w:leader="none"/>
      </w:tabs>
    </w:pPr>
  </w:style>
  <w:style w:type="character" w:styleId="1306" w:customStyle="1">
    <w:name w:val="Нижний колонтитул Знак"/>
    <w:basedOn w:val="1260"/>
    <w:link w:val="1305"/>
    <w:uiPriority w:val="99"/>
  </w:style>
  <w:style w:type="table" w:styleId="1307">
    <w:name w:val="Table Grid"/>
    <w:basedOn w:val="126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8" w:customStyle="1">
    <w:name w:val="Table Grid Light"/>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9">
    <w:name w:val="Plain Table 1"/>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2"/>
    <w:basedOn w:val="126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3"/>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2">
    <w:name w:val="Plain Table 4"/>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3">
    <w:name w:val="Plain Table 5"/>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4">
    <w:name w:val="Grid Table 1 Light"/>
    <w:basedOn w:val="126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5" w:customStyle="1">
    <w:name w:val="Grid Table 1 Light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6" w:customStyle="1">
    <w:name w:val="Grid Table 1 Light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7" w:customStyle="1">
    <w:name w:val="Grid Table 1 Light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8" w:customStyle="1">
    <w:name w:val="Grid Table 1 Light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9" w:customStyle="1">
    <w:name w:val="Grid Table 1 Light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0" w:customStyle="1">
    <w:name w:val="Grid Table 1 Light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1">
    <w:name w:val="Grid Table 2"/>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2" w:customStyle="1">
    <w:name w:val="Grid Table 2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3" w:customStyle="1">
    <w:name w:val="Grid Table 2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4" w:customStyle="1">
    <w:name w:val="Grid Table 2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5" w:customStyle="1">
    <w:name w:val="Grid Table 2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6" w:customStyle="1">
    <w:name w:val="Grid Table 2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7" w:customStyle="1">
    <w:name w:val="Grid Table 2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8">
    <w:name w:val="Grid Table 3"/>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customStyle="1">
    <w:name w:val="Grid Table 3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name w:val="Grid Table 4"/>
    <w:basedOn w:val="126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6" w:customStyle="1">
    <w:name w:val="Grid Table 4 - Accent 1"/>
    <w:basedOn w:val="126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7" w:customStyle="1">
    <w:name w:val="Grid Table 4 - Accent 2"/>
    <w:basedOn w:val="126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8" w:customStyle="1">
    <w:name w:val="Grid Table 4 - Accent 3"/>
    <w:basedOn w:val="126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9" w:customStyle="1">
    <w:name w:val="Grid Table 4 - Accent 4"/>
    <w:basedOn w:val="126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0" w:customStyle="1">
    <w:name w:val="Grid Table 4 - Accent 5"/>
    <w:basedOn w:val="126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1" w:customStyle="1">
    <w:name w:val="Grid Table 4 - Accent 6"/>
    <w:basedOn w:val="126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2">
    <w:name w:val="Grid Table 5 Dark"/>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3" w:customStyle="1">
    <w:name w:val="Grid Table 5 Dark- Accent 1"/>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4" w:customStyle="1">
    <w:name w:val="Grid Table 5 Dark - Accent 2"/>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5" w:customStyle="1">
    <w:name w:val="Grid Table 5 Dark - Accent 3"/>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6" w:customStyle="1">
    <w:name w:val="Grid Table 5 Dark- Accent 4"/>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7" w:customStyle="1">
    <w:name w:val="Grid Table 5 Dark - Accent 5"/>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8" w:customStyle="1">
    <w:name w:val="Grid Table 5 Dark - Accent 6"/>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9">
    <w:name w:val="Grid Table 6 Colorful"/>
    <w:basedOn w:val="126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0" w:customStyle="1">
    <w:name w:val="Grid Table 6 Colorful - Accent 1"/>
    <w:basedOn w:val="126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1" w:customStyle="1">
    <w:name w:val="Grid Table 6 Colorful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2" w:customStyle="1">
    <w:name w:val="Grid Table 6 Colorful - Accent 3"/>
    <w:basedOn w:val="126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3" w:customStyle="1">
    <w:name w:val="Grid Table 6 Colorful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4" w:customStyle="1">
    <w:name w:val="Grid Table 6 Colorful - Accent 5"/>
    <w:basedOn w:val="126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5" w:customStyle="1">
    <w:name w:val="Grid Table 6 Colorful - Accent 6"/>
    <w:basedOn w:val="126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6">
    <w:name w:val="Grid Table 7 Colorful"/>
    <w:basedOn w:val="126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7" w:customStyle="1">
    <w:name w:val="Grid Table 7 Colorful - Accent 1"/>
    <w:basedOn w:val="126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8" w:customStyle="1">
    <w:name w:val="Grid Table 7 Colorful - Accent 2"/>
    <w:basedOn w:val="126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9" w:customStyle="1">
    <w:name w:val="Grid Table 7 Colorful - Accent 3"/>
    <w:basedOn w:val="126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0" w:customStyle="1">
    <w:name w:val="Grid Table 7 Colorful - Accent 4"/>
    <w:basedOn w:val="126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1" w:customStyle="1">
    <w:name w:val="Grid Table 7 Colorful - Accent 5"/>
    <w:basedOn w:val="126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2" w:customStyle="1">
    <w:name w:val="Grid Table 7 Colorful - Accent 6"/>
    <w:basedOn w:val="126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3">
    <w:name w:val="List Table 1 Light"/>
    <w:basedOn w:val="126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4" w:customStyle="1">
    <w:name w:val="List Table 1 Light - Accent 1"/>
    <w:basedOn w:val="126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5" w:customStyle="1">
    <w:name w:val="List Table 1 Light - Accent 2"/>
    <w:basedOn w:val="126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6" w:customStyle="1">
    <w:name w:val="List Table 1 Light - Accent 3"/>
    <w:basedOn w:val="126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7" w:customStyle="1">
    <w:name w:val="List Table 1 Light - Accent 4"/>
    <w:basedOn w:val="126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8" w:customStyle="1">
    <w:name w:val="List Table 1 Light - Accent 5"/>
    <w:basedOn w:val="126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9" w:customStyle="1">
    <w:name w:val="List Table 1 Light - Accent 6"/>
    <w:basedOn w:val="126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0">
    <w:name w:val="List Table 2"/>
    <w:basedOn w:val="126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1" w:customStyle="1">
    <w:name w:val="List Table 2 - Accent 1"/>
    <w:basedOn w:val="126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2" w:customStyle="1">
    <w:name w:val="List Table 2 - Accent 2"/>
    <w:basedOn w:val="126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3" w:customStyle="1">
    <w:name w:val="List Table 2 - Accent 3"/>
    <w:basedOn w:val="126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4" w:customStyle="1">
    <w:name w:val="List Table 2 - Accent 4"/>
    <w:basedOn w:val="126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5" w:customStyle="1">
    <w:name w:val="List Table 2 - Accent 5"/>
    <w:basedOn w:val="126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6" w:customStyle="1">
    <w:name w:val="List Table 2 - Accent 6"/>
    <w:basedOn w:val="126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7">
    <w:name w:val="List Table 3"/>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8" w:customStyle="1">
    <w:name w:val="List Table 3 - Accent 1"/>
    <w:basedOn w:val="126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9" w:customStyle="1">
    <w:name w:val="List Table 3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0" w:customStyle="1">
    <w:name w:val="List Table 3 - Accent 3"/>
    <w:basedOn w:val="126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1" w:customStyle="1">
    <w:name w:val="List Table 3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2" w:customStyle="1">
    <w:name w:val="List Table 3 - Accent 5"/>
    <w:basedOn w:val="126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3" w:customStyle="1">
    <w:name w:val="List Table 3 - Accent 6"/>
    <w:basedOn w:val="126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4">
    <w:name w:val="List Table 4"/>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5" w:customStyle="1">
    <w:name w:val="List Table 4 - Accent 1"/>
    <w:basedOn w:val="126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6" w:customStyle="1">
    <w:name w:val="List Table 4 - Accent 2"/>
    <w:basedOn w:val="126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7" w:customStyle="1">
    <w:name w:val="List Table 4 - Accent 3"/>
    <w:basedOn w:val="126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8" w:customStyle="1">
    <w:name w:val="List Table 4 - Accent 4"/>
    <w:basedOn w:val="126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9" w:customStyle="1">
    <w:name w:val="List Table 4 - Accent 5"/>
    <w:basedOn w:val="126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0" w:customStyle="1">
    <w:name w:val="List Table 4 - Accent 6"/>
    <w:basedOn w:val="126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1">
    <w:name w:val="List Table 5 Dark"/>
    <w:basedOn w:val="126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2" w:customStyle="1">
    <w:name w:val="List Table 5 Dark - Accent 1"/>
    <w:basedOn w:val="126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3" w:customStyle="1">
    <w:name w:val="List Table 5 Dark - Accent 2"/>
    <w:basedOn w:val="126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4" w:customStyle="1">
    <w:name w:val="List Table 5 Dark - Accent 3"/>
    <w:basedOn w:val="126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5" w:customStyle="1">
    <w:name w:val="List Table 5 Dark - Accent 4"/>
    <w:basedOn w:val="126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6" w:customStyle="1">
    <w:name w:val="List Table 5 Dark - Accent 5"/>
    <w:basedOn w:val="126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7" w:customStyle="1">
    <w:name w:val="List Table 5 Dark - Accent 6"/>
    <w:basedOn w:val="126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8">
    <w:name w:val="List Table 6 Colorful"/>
    <w:basedOn w:val="126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9" w:customStyle="1">
    <w:name w:val="List Table 6 Colorful - Accent 1"/>
    <w:basedOn w:val="126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0" w:customStyle="1">
    <w:name w:val="List Table 6 Colorful - Accent 2"/>
    <w:basedOn w:val="126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1" w:customStyle="1">
    <w:name w:val="List Table 6 Colorful - Accent 3"/>
    <w:basedOn w:val="126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2" w:customStyle="1">
    <w:name w:val="List Table 6 Colorful - Accent 4"/>
    <w:basedOn w:val="126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3" w:customStyle="1">
    <w:name w:val="List Table 6 Colorful - Accent 5"/>
    <w:basedOn w:val="126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4" w:customStyle="1">
    <w:name w:val="List Table 6 Colorful - Accent 6"/>
    <w:basedOn w:val="126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5">
    <w:name w:val="List Table 7 Colorful"/>
    <w:basedOn w:val="1261"/>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6" w:customStyle="1">
    <w:name w:val="List Table 7 Colorful - Accent 1"/>
    <w:basedOn w:val="1261"/>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7" w:customStyle="1">
    <w:name w:val="List Table 7 Colorful - Accent 2"/>
    <w:basedOn w:val="1261"/>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8" w:customStyle="1">
    <w:name w:val="List Table 7 Colorful - Accent 3"/>
    <w:basedOn w:val="1261"/>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9" w:customStyle="1">
    <w:name w:val="List Table 7 Colorful - Accent 4"/>
    <w:basedOn w:val="1261"/>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0" w:customStyle="1">
    <w:name w:val="List Table 7 Colorful - Accent 5"/>
    <w:basedOn w:val="1261"/>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1" w:customStyle="1">
    <w:name w:val="List Table 7 Colorful - Accent 6"/>
    <w:basedOn w:val="1261"/>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2" w:customStyle="1">
    <w:name w:val="Lined - Accent"/>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3" w:customStyle="1">
    <w:name w:val="Lined - Accent 1"/>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4" w:customStyle="1">
    <w:name w:val="Lined - Accent 2"/>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5" w:customStyle="1">
    <w:name w:val="Lined - Accent 3"/>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6" w:customStyle="1">
    <w:name w:val="Lined - Accent 4"/>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7" w:customStyle="1">
    <w:name w:val="Lined - Accent 5"/>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8" w:customStyle="1">
    <w:name w:val="Lined - Accent 6"/>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9" w:customStyle="1">
    <w:name w:val="Bordered &amp; Lined - Accent"/>
    <w:basedOn w:val="126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0" w:customStyle="1">
    <w:name w:val="Bordered &amp; Lined - Accent 1"/>
    <w:basedOn w:val="126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1" w:customStyle="1">
    <w:name w:val="Bordered &amp; Lined - Accent 2"/>
    <w:basedOn w:val="126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2" w:customStyle="1">
    <w:name w:val="Bordered &amp; Lined - Accent 3"/>
    <w:basedOn w:val="126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3" w:customStyle="1">
    <w:name w:val="Bordered &amp; Lined - Accent 4"/>
    <w:basedOn w:val="126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4" w:customStyle="1">
    <w:name w:val="Bordered &amp; Lined - Accent 5"/>
    <w:basedOn w:val="126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5" w:customStyle="1">
    <w:name w:val="Bordered &amp; Lined - Accent 6"/>
    <w:basedOn w:val="126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6" w:customStyle="1">
    <w:name w:val="Bordered"/>
    <w:basedOn w:val="126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7" w:customStyle="1">
    <w:name w:val="Bordered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8" w:customStyle="1">
    <w:name w:val="Bordered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9" w:customStyle="1">
    <w:name w:val="Bordered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0" w:customStyle="1">
    <w:name w:val="Bordered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1" w:customStyle="1">
    <w:name w:val="Bordered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2" w:customStyle="1">
    <w:name w:val="Bordered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3">
    <w:name w:val="Hyperlink"/>
    <w:uiPriority w:val="99"/>
    <w:unhideWhenUsed/>
    <w:rPr>
      <w:color w:val="0563C1" w:themeColor="hyperlink"/>
      <w:u w:val="single"/>
    </w:rPr>
  </w:style>
  <w:style w:type="paragraph" w:styleId="1434">
    <w:name w:val="footnote text"/>
    <w:basedOn w:val="1250"/>
    <w:link w:val="1435"/>
    <w:uiPriority w:val="99"/>
    <w:semiHidden/>
    <w:unhideWhenUsed/>
    <w:rPr>
      <w:sz w:val="18"/>
    </w:rPr>
    <w:pPr>
      <w:spacing w:lineRule="auto" w:line="240" w:after="40"/>
    </w:pPr>
  </w:style>
  <w:style w:type="character" w:styleId="1435" w:customStyle="1">
    <w:name w:val="Текст сноски Знак"/>
    <w:link w:val="1434"/>
    <w:uiPriority w:val="99"/>
    <w:rPr>
      <w:sz w:val="18"/>
    </w:rPr>
  </w:style>
  <w:style w:type="character" w:styleId="1436">
    <w:name w:val="footnote reference"/>
    <w:basedOn w:val="1260"/>
    <w:uiPriority w:val="99"/>
    <w:unhideWhenUsed/>
    <w:rPr>
      <w:vertAlign w:val="superscript"/>
    </w:rPr>
  </w:style>
  <w:style w:type="paragraph" w:styleId="1437">
    <w:name w:val="toc 1"/>
    <w:basedOn w:val="1250"/>
    <w:next w:val="1250"/>
    <w:uiPriority w:val="39"/>
    <w:unhideWhenUsed/>
    <w:pPr>
      <w:spacing w:after="57"/>
    </w:pPr>
  </w:style>
  <w:style w:type="paragraph" w:styleId="1438">
    <w:name w:val="toc 2"/>
    <w:basedOn w:val="1250"/>
    <w:next w:val="1250"/>
    <w:uiPriority w:val="39"/>
    <w:unhideWhenUsed/>
    <w:pPr>
      <w:ind w:left="283"/>
      <w:spacing w:after="57"/>
    </w:pPr>
  </w:style>
  <w:style w:type="paragraph" w:styleId="1439">
    <w:name w:val="toc 3"/>
    <w:basedOn w:val="1250"/>
    <w:next w:val="1250"/>
    <w:uiPriority w:val="39"/>
    <w:unhideWhenUsed/>
    <w:pPr>
      <w:ind w:left="567"/>
      <w:spacing w:after="57"/>
    </w:pPr>
  </w:style>
  <w:style w:type="paragraph" w:styleId="1440">
    <w:name w:val="toc 4"/>
    <w:basedOn w:val="1250"/>
    <w:next w:val="1250"/>
    <w:uiPriority w:val="39"/>
    <w:unhideWhenUsed/>
    <w:pPr>
      <w:ind w:left="850"/>
      <w:spacing w:after="57"/>
    </w:pPr>
  </w:style>
  <w:style w:type="paragraph" w:styleId="1441">
    <w:name w:val="toc 5"/>
    <w:basedOn w:val="1250"/>
    <w:next w:val="1250"/>
    <w:uiPriority w:val="39"/>
    <w:unhideWhenUsed/>
    <w:pPr>
      <w:ind w:left="1134"/>
      <w:spacing w:after="57"/>
    </w:pPr>
  </w:style>
  <w:style w:type="paragraph" w:styleId="1442">
    <w:name w:val="toc 6"/>
    <w:basedOn w:val="1250"/>
    <w:next w:val="1250"/>
    <w:uiPriority w:val="39"/>
    <w:unhideWhenUsed/>
    <w:pPr>
      <w:ind w:left="1417"/>
      <w:spacing w:after="57"/>
    </w:pPr>
  </w:style>
  <w:style w:type="paragraph" w:styleId="1443">
    <w:name w:val="toc 7"/>
    <w:basedOn w:val="1250"/>
    <w:next w:val="1250"/>
    <w:uiPriority w:val="39"/>
    <w:unhideWhenUsed/>
    <w:pPr>
      <w:ind w:left="1701"/>
      <w:spacing w:after="57"/>
    </w:pPr>
  </w:style>
  <w:style w:type="paragraph" w:styleId="1444">
    <w:name w:val="toc 8"/>
    <w:basedOn w:val="1250"/>
    <w:next w:val="1250"/>
    <w:uiPriority w:val="39"/>
    <w:unhideWhenUsed/>
    <w:pPr>
      <w:ind w:left="1984"/>
      <w:spacing w:after="57"/>
    </w:pPr>
  </w:style>
  <w:style w:type="paragraph" w:styleId="1445">
    <w:name w:val="toc 9"/>
    <w:basedOn w:val="1250"/>
    <w:next w:val="1250"/>
    <w:uiPriority w:val="39"/>
    <w:unhideWhenUsed/>
    <w:pPr>
      <w:ind w:left="2268"/>
      <w:spacing w:after="57"/>
    </w:pPr>
  </w:style>
  <w:style w:type="paragraph" w:styleId="1446">
    <w:name w:val="TOC Heading"/>
    <w:uiPriority w:val="39"/>
    <w:unhideWhenUsed/>
  </w:style>
  <w:style w:type="paragraph" w:styleId="1447">
    <w:name w:val="List Paragraph"/>
    <w:basedOn w:val="1250"/>
    <w:qFormat/>
    <w:uiPriority w:val="34"/>
    <w:pPr>
      <w:contextualSpacing w:val="true"/>
      <w:ind w:left="720"/>
    </w:pPr>
  </w:style>
  <w:style w:type="character" w:styleId="1448" w:customStyle="1">
    <w:name w:val="c4"/>
    <w:qFormat/>
  </w:style>
  <w:style w:type="paragraph" w:styleId="1449"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295</cp:revision>
  <dcterms:created xsi:type="dcterms:W3CDTF">2020-12-11T02:23:00Z</dcterms:created>
  <dcterms:modified xsi:type="dcterms:W3CDTF">2021-11-15T03:59:19Z</dcterms:modified>
</cp:coreProperties>
</file>