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F495B5">
      <w:pPr>
        <w:spacing w:before="480" w:after="480" w:line="288" w:lineRule="auto"/>
        <w:ind w:left="0"/>
        <w:rPr>
          <w:sz w:val="48"/>
          <w:szCs w:val="48"/>
        </w:rPr>
      </w:pPr>
      <w:r>
        <w:rPr>
          <w:rFonts w:ascii="Arial" w:hAnsi="Arial" w:eastAsia="等线" w:cs="Arial"/>
          <w:b/>
          <w:sz w:val="48"/>
          <w:szCs w:val="48"/>
        </w:rPr>
        <w:t>Technica</w:t>
      </w:r>
      <w:bookmarkStart w:id="11" w:name="_GoBack"/>
      <w:bookmarkEnd w:id="11"/>
      <w:r>
        <w:rPr>
          <w:rFonts w:ascii="Arial" w:hAnsi="Arial" w:eastAsia="等线" w:cs="Arial"/>
          <w:b/>
          <w:sz w:val="48"/>
          <w:szCs w:val="48"/>
        </w:rPr>
        <w:t>l Specification</w:t>
      </w:r>
    </w:p>
    <w:p w14:paraId="079B82DA">
      <w:pPr>
        <w:spacing w:before="320" w:after="120" w:line="288" w:lineRule="auto"/>
        <w:ind w:left="0"/>
        <w:jc w:val="left"/>
        <w:outlineLvl w:val="1"/>
      </w:pPr>
      <w:bookmarkStart w:id="0" w:name="heading_0"/>
      <w:r>
        <w:rPr>
          <w:rFonts w:ascii="Arial" w:hAnsi="Arial" w:eastAsia="等线" w:cs="Arial"/>
          <w:b/>
          <w:sz w:val="32"/>
        </w:rPr>
        <w:t>1. Module Overview</w:t>
      </w:r>
      <w:bookmarkEnd w:id="0"/>
    </w:p>
    <w:p w14:paraId="75FDFDFD">
      <w:pPr>
        <w:spacing w:before="120" w:after="120" w:line="288" w:lineRule="auto"/>
        <w:ind w:left="0"/>
        <w:jc w:val="left"/>
      </w:pPr>
      <w:r>
        <w:rPr>
          <w:rFonts w:ascii="Arial" w:hAnsi="Arial" w:eastAsia="等线" w:cs="Arial"/>
          <w:sz w:val="22"/>
        </w:rPr>
        <w:t xml:space="preserve">This module serves as the </w:t>
      </w:r>
      <w:r>
        <w:rPr>
          <w:rFonts w:ascii="Arial" w:hAnsi="Arial" w:eastAsia="等线" w:cs="Arial"/>
          <w:b/>
          <w:sz w:val="22"/>
        </w:rPr>
        <w:t>decision-making brain</w:t>
      </w:r>
      <w:r>
        <w:rPr>
          <w:rFonts w:ascii="Arial" w:hAnsi="Arial" w:eastAsia="等线" w:cs="Arial"/>
          <w:sz w:val="22"/>
        </w:rPr>
        <w:t xml:space="preserve"> of the Intelligent Governance System for Invasive Plants, acting as a core link connecting the upstream and downstream of the entire system. It receives wide-area multispectral visual perception data (plant species, distribution area) from the upstream modules, and interfaces with the motion control and operation mechanisms of the underlying tracked/wheeled execution robots at the downstream.</w:t>
      </w:r>
    </w:p>
    <w:p w14:paraId="321C3FF8">
      <w:pPr>
        <w:spacing w:before="120" w:after="120" w:line="288" w:lineRule="auto"/>
        <w:ind w:left="0"/>
        <w:jc w:val="left"/>
      </w:pPr>
      <w:r>
        <w:rPr>
          <w:rFonts w:ascii="Arial" w:hAnsi="Arial" w:eastAsia="等线" w:cs="Arial"/>
          <w:sz w:val="22"/>
        </w:rPr>
        <w:t xml:space="preserve">This module is designed to solve three core problems of multi-agent clusters in unstructured field environments: </w:t>
      </w:r>
      <w:r>
        <w:rPr>
          <w:rFonts w:ascii="Arial" w:hAnsi="Arial" w:eastAsia="等线" w:cs="Arial"/>
          <w:b/>
          <w:sz w:val="22"/>
        </w:rPr>
        <w:t>dynamic risk assessment</w:t>
      </w:r>
      <w:r>
        <w:rPr>
          <w:rFonts w:ascii="Arial" w:hAnsi="Arial" w:eastAsia="等线" w:cs="Arial"/>
          <w:sz w:val="22"/>
        </w:rPr>
        <w:t xml:space="preserve">, </w:t>
      </w:r>
      <w:r>
        <w:rPr>
          <w:rFonts w:ascii="Arial" w:hAnsi="Arial" w:eastAsia="等线" w:cs="Arial"/>
          <w:b/>
          <w:sz w:val="22"/>
        </w:rPr>
        <w:t>multi-constraint collaborative task allocation</w:t>
      </w:r>
      <w:r>
        <w:rPr>
          <w:rFonts w:ascii="Arial" w:hAnsi="Arial" w:eastAsia="等线" w:cs="Arial"/>
          <w:sz w:val="22"/>
        </w:rPr>
        <w:t xml:space="preserve">, and </w:t>
      </w:r>
      <w:r>
        <w:rPr>
          <w:rFonts w:ascii="Arial" w:hAnsi="Arial" w:eastAsia="等线" w:cs="Arial"/>
          <w:b/>
          <w:sz w:val="22"/>
        </w:rPr>
        <w:t>precision operation command issuance</w:t>
      </w:r>
      <w:r>
        <w:rPr>
          <w:rFonts w:ascii="Arial" w:hAnsi="Arial" w:eastAsia="等线" w:cs="Arial"/>
          <w:sz w:val="22"/>
        </w:rPr>
        <w:t xml:space="preserve">, ultimately achieving an intelligent closed loop from </w:t>
      </w:r>
      <w:r>
        <w:rPr>
          <w:rFonts w:ascii="Arial" w:hAnsi="Arial" w:eastAsia="等线" w:cs="Arial"/>
          <w:b/>
          <w:sz w:val="22"/>
        </w:rPr>
        <w:t>passive patrol</w:t>
      </w:r>
      <w:r>
        <w:rPr>
          <w:rFonts w:ascii="Arial" w:hAnsi="Arial" w:eastAsia="等线" w:cs="Arial"/>
          <w:sz w:val="22"/>
        </w:rPr>
        <w:t xml:space="preserve"> to </w:t>
      </w:r>
      <w:r>
        <w:rPr>
          <w:rFonts w:ascii="Arial" w:hAnsi="Arial" w:eastAsia="等线" w:cs="Arial"/>
          <w:b/>
          <w:sz w:val="22"/>
        </w:rPr>
        <w:t>active optimal governance</w:t>
      </w:r>
      <w:r>
        <w:rPr>
          <w:rFonts w:ascii="Arial" w:hAnsi="Arial" w:eastAsia="等线" w:cs="Arial"/>
          <w:sz w:val="22"/>
        </w:rPr>
        <w:t>.</w:t>
      </w:r>
    </w:p>
    <w:p w14:paraId="5518590B">
      <w:pPr>
        <w:spacing w:before="320" w:after="120" w:line="288" w:lineRule="auto"/>
        <w:ind w:left="0"/>
        <w:jc w:val="left"/>
        <w:outlineLvl w:val="1"/>
      </w:pPr>
      <w:bookmarkStart w:id="1" w:name="heading_1"/>
      <w:r>
        <w:rPr>
          <w:rFonts w:ascii="Arial" w:hAnsi="Arial" w:eastAsia="等线" w:cs="Arial"/>
          <w:b/>
          <w:sz w:val="32"/>
        </w:rPr>
        <w:t>2. Overall System Architecture Design</w:t>
      </w:r>
      <w:bookmarkEnd w:id="1"/>
    </w:p>
    <w:p w14:paraId="175136EA">
      <w:pPr>
        <w:spacing w:before="120" w:after="120" w:line="288" w:lineRule="auto"/>
        <w:ind w:left="0"/>
        <w:jc w:val="left"/>
      </w:pPr>
      <w:r>
        <w:rPr>
          <w:rFonts w:ascii="Arial" w:hAnsi="Arial" w:eastAsia="等线" w:cs="Arial"/>
          <w:sz w:val="22"/>
        </w:rPr>
        <w:t xml:space="preserve">The module adopts a </w:t>
      </w:r>
      <w:r>
        <w:rPr>
          <w:rFonts w:ascii="Arial" w:hAnsi="Arial" w:eastAsia="等线" w:cs="Arial"/>
          <w:b/>
          <w:sz w:val="22"/>
        </w:rPr>
        <w:t>distributed node architecture</w:t>
      </w:r>
      <w:r>
        <w:rPr>
          <w:rFonts w:ascii="Arial" w:hAnsi="Arial" w:eastAsia="等线" w:cs="Arial"/>
          <w:sz w:val="22"/>
        </w:rPr>
        <w:t xml:space="preserve"> based on ROS2 (Humble), and its core functions are decoupled into three major subsystems:</w:t>
      </w:r>
    </w:p>
    <w:p w14:paraId="59D33886">
      <w:pPr>
        <w:numPr>
          <w:numId w:val="0"/>
        </w:numPr>
        <w:spacing w:before="120" w:after="120" w:line="288" w:lineRule="auto"/>
        <w:jc w:val="left"/>
      </w:pPr>
      <w:r>
        <w:rPr>
          <w:rFonts w:hint="eastAsia" w:ascii="Arial" w:hAnsi="Arial" w:eastAsia="等线" w:cs="Arial"/>
          <w:b/>
          <w:sz w:val="22"/>
          <w:lang w:eastAsia="zh-CN"/>
        </w:rPr>
        <w:t>（</w:t>
      </w:r>
      <w:r>
        <w:rPr>
          <w:rFonts w:hint="eastAsia" w:ascii="Arial" w:hAnsi="Arial" w:eastAsia="等线" w:cs="Arial"/>
          <w:b/>
          <w:sz w:val="22"/>
          <w:lang w:val="en-US" w:eastAsia="zh-CN"/>
        </w:rPr>
        <w:t>1）</w:t>
      </w:r>
      <w:r>
        <w:rPr>
          <w:rFonts w:ascii="Arial" w:hAnsi="Arial" w:eastAsia="等线" w:cs="Arial"/>
          <w:b/>
          <w:sz w:val="22"/>
        </w:rPr>
        <w:t>Risk Situation Perception Engine (Risk Assessment Node)</w:t>
      </w:r>
      <w:r>
        <w:rPr>
          <w:rFonts w:ascii="Arial" w:hAnsi="Arial" w:eastAsia="等线" w:cs="Arial"/>
          <w:sz w:val="22"/>
        </w:rPr>
        <w:t>: Fuses multi-dimensional ecological data to construct a dynamic costmap in a 2D continuous space.</w:t>
      </w:r>
    </w:p>
    <w:p w14:paraId="5EC42284">
      <w:pPr>
        <w:numPr>
          <w:numId w:val="0"/>
        </w:numPr>
        <w:spacing w:before="120" w:after="120" w:line="288" w:lineRule="auto"/>
        <w:jc w:val="left"/>
      </w:pPr>
      <w:r>
        <w:rPr>
          <w:rFonts w:hint="eastAsia" w:ascii="Arial" w:hAnsi="Arial" w:eastAsia="等线" w:cs="Arial"/>
          <w:b/>
          <w:sz w:val="22"/>
          <w:lang w:eastAsia="zh-CN"/>
        </w:rPr>
        <w:t>（</w:t>
      </w:r>
      <w:r>
        <w:rPr>
          <w:rFonts w:hint="eastAsia" w:ascii="Arial" w:hAnsi="Arial" w:eastAsia="等线" w:cs="Arial"/>
          <w:b/>
          <w:sz w:val="22"/>
          <w:lang w:val="en-US" w:eastAsia="zh-CN"/>
        </w:rPr>
        <w:t>2）</w:t>
      </w:r>
      <w:r>
        <w:rPr>
          <w:rFonts w:ascii="Arial" w:hAnsi="Arial" w:eastAsia="等线" w:cs="Arial"/>
          <w:b/>
          <w:sz w:val="22"/>
        </w:rPr>
        <w:t>Multi-Agent Collaborative Scheduling Hub (Fleet Manager Node)</w:t>
      </w:r>
      <w:r>
        <w:rPr>
          <w:rFonts w:ascii="Arial" w:hAnsi="Arial" w:eastAsia="等线" w:cs="Arial"/>
          <w:sz w:val="22"/>
        </w:rPr>
        <w:t>: Introduces physical resource constraints (battery power, chemical agents) and completes global topological path planning and task allocation based on an improved heuristic search algorithm.</w:t>
      </w:r>
    </w:p>
    <w:p w14:paraId="321C9414">
      <w:pPr>
        <w:numPr>
          <w:numId w:val="0"/>
        </w:numPr>
        <w:spacing w:before="120" w:after="120" w:line="288" w:lineRule="auto"/>
        <w:jc w:val="left"/>
      </w:pPr>
      <w:r>
        <w:rPr>
          <w:rFonts w:hint="eastAsia" w:ascii="Arial" w:hAnsi="Arial" w:eastAsia="等线" w:cs="Arial"/>
          <w:b/>
          <w:sz w:val="22"/>
          <w:lang w:eastAsia="zh-CN"/>
        </w:rPr>
        <w:t>（</w:t>
      </w:r>
      <w:r>
        <w:rPr>
          <w:rFonts w:hint="eastAsia" w:ascii="Arial" w:hAnsi="Arial" w:eastAsia="等线" w:cs="Arial"/>
          <w:b/>
          <w:sz w:val="22"/>
          <w:lang w:val="en-US" w:eastAsia="zh-CN"/>
        </w:rPr>
        <w:t>3）</w:t>
      </w:r>
      <w:r>
        <w:rPr>
          <w:rFonts w:ascii="Arial" w:hAnsi="Arial" w:eastAsia="等线" w:cs="Arial"/>
          <w:b/>
          <w:sz w:val="22"/>
        </w:rPr>
        <w:t>Strategy Synthesis State Machine (Decision Maker Node)</w:t>
      </w:r>
      <w:r>
        <w:rPr>
          <w:rFonts w:ascii="Arial" w:hAnsi="Arial" w:eastAsia="等线" w:cs="Arial"/>
          <w:sz w:val="22"/>
        </w:rPr>
        <w:t>: Reduces high-dimensional decision-making to structured control messages parsable by underlying hardware to drive physical execution.</w:t>
      </w:r>
    </w:p>
    <w:p w14:paraId="66B7CAB6">
      <w:pPr>
        <w:spacing w:before="320" w:after="120" w:line="288" w:lineRule="auto"/>
        <w:ind w:left="0"/>
        <w:jc w:val="left"/>
        <w:outlineLvl w:val="1"/>
      </w:pPr>
      <w:bookmarkStart w:id="2" w:name="heading_2"/>
      <w:r>
        <w:rPr>
          <w:rFonts w:ascii="Arial" w:hAnsi="Arial" w:eastAsia="等线" w:cs="Arial"/>
          <w:b/>
          <w:sz w:val="32"/>
        </w:rPr>
        <w:t>3. Core Algorithms and Theoretical Derivation</w:t>
      </w:r>
      <w:bookmarkEnd w:id="2"/>
    </w:p>
    <w:p w14:paraId="54270801">
      <w:pPr>
        <w:spacing w:before="300" w:after="120" w:line="288" w:lineRule="auto"/>
        <w:ind w:left="0"/>
        <w:jc w:val="left"/>
        <w:outlineLvl w:val="2"/>
      </w:pPr>
      <w:bookmarkStart w:id="3" w:name="heading_3"/>
      <w:r>
        <w:rPr>
          <w:rFonts w:ascii="Arial" w:hAnsi="Arial" w:eastAsia="等线" w:cs="Arial"/>
          <w:b/>
          <w:sz w:val="30"/>
        </w:rPr>
        <w:t>3.1 Dynamic Risk Assessment and Early-Warning Map Generation</w:t>
      </w:r>
      <w:bookmarkEnd w:id="3"/>
    </w:p>
    <w:p w14:paraId="4FEE5817">
      <w:pPr>
        <w:spacing w:before="120" w:after="120" w:line="288" w:lineRule="auto"/>
        <w:ind w:left="0"/>
        <w:jc w:val="left"/>
      </w:pPr>
      <w:r>
        <w:rPr>
          <w:rFonts w:ascii="Arial" w:hAnsi="Arial" w:eastAsia="等线" w:cs="Arial"/>
          <w:sz w:val="22"/>
        </w:rPr>
        <w:t xml:space="preserve">To address the irregular distribution of invasive plants in the field and the quantification of ecological damage, the system abandons a single binary obstacle judgment and instead introduces the </w:t>
      </w:r>
      <w:r>
        <w:rPr>
          <w:rFonts w:ascii="Arial" w:hAnsi="Arial" w:eastAsia="等线" w:cs="Arial"/>
          <w:b/>
          <w:sz w:val="22"/>
        </w:rPr>
        <w:t>Analytic Hierarchy Process (AHP)</w:t>
      </w:r>
      <w:r>
        <w:rPr>
          <w:rFonts w:ascii="Arial" w:hAnsi="Arial" w:eastAsia="等线" w:cs="Arial"/>
          <w:sz w:val="22"/>
        </w:rPr>
        <w:t xml:space="preserve"> and a </w:t>
      </w:r>
      <w:r>
        <w:rPr>
          <w:rFonts w:ascii="Arial" w:hAnsi="Arial" w:eastAsia="等线" w:cs="Arial"/>
          <w:b/>
          <w:sz w:val="22"/>
        </w:rPr>
        <w:t>2D Gaussian diffusion model</w:t>
      </w:r>
      <w:r>
        <w:rPr>
          <w:rFonts w:ascii="Arial" w:hAnsi="Arial" w:eastAsia="等线" w:cs="Arial"/>
          <w:sz w:val="22"/>
        </w:rPr>
        <w:t>.</w:t>
      </w:r>
    </w:p>
    <w:p w14:paraId="7C7C2A4E">
      <w:pPr>
        <w:spacing w:before="260" w:after="120" w:line="288" w:lineRule="auto"/>
        <w:ind w:left="0"/>
        <w:jc w:val="left"/>
        <w:outlineLvl w:val="3"/>
      </w:pPr>
      <w:bookmarkStart w:id="4" w:name="heading_4"/>
      <w:r>
        <w:rPr>
          <w:rFonts w:ascii="Arial" w:hAnsi="Arial" w:eastAsia="等线" w:cs="Arial"/>
          <w:b/>
          <w:sz w:val="28"/>
        </w:rPr>
        <w:t>1. Hazard Level Quantification Model</w:t>
      </w:r>
      <w:bookmarkEnd w:id="4"/>
    </w:p>
    <w:p w14:paraId="43BEE294">
      <w:pPr>
        <w:spacing w:before="120" w:after="120" w:line="288" w:lineRule="auto"/>
        <w:ind w:left="0"/>
        <w:jc w:val="left"/>
      </w:pPr>
      <w:r>
        <w:rPr>
          <w:rFonts w:ascii="Arial" w:hAnsi="Arial" w:eastAsia="等线" w:cs="Arial"/>
          <w:sz w:val="22"/>
        </w:rPr>
        <w:t xml:space="preserve">After receiving front-end perception data, the system constructs a multi-factor hazard evaluation function. Let the grid coordinate be </w:t>
      </w:r>
      <m:oMath>
        <m:d>
          <m:dPr>
            <m:sepChr m:val=","/>
          </m:dPr>
          <m:e>
            <m:r>
              <m:rPr/>
              <w:rPr>
                <w:rFonts w:ascii="Cambria Math" w:hAnsi="Cambria Math"/>
              </w:rPr>
              <m:t>x</m:t>
            </m:r>
          </m:e>
          <m:e>
            <m:r>
              <m:rPr/>
              <w:rPr>
                <w:rFonts w:ascii="Cambria Math" w:hAnsi="Cambria Math"/>
              </w:rPr>
              <m:t>y</m:t>
            </m:r>
          </m:e>
        </m:d>
      </m:oMath>
      <w:r>
        <w:rPr>
          <w:rFonts w:ascii="Arial" w:hAnsi="Arial" w:eastAsia="等线" w:cs="Arial"/>
          <w:sz w:val="22"/>
        </w:rPr>
        <w:t xml:space="preserve">, and its initial hazard score </w:t>
      </w:r>
      <m:oMath>
        <m:sSub>
          <m:sSubPr/>
          <m:e>
            <m:r>
              <m:rPr/>
              <w:rPr>
                <w:rFonts w:ascii="Cambria Math" w:hAnsi="Cambria Math"/>
              </w:rPr>
              <m:t>S</m:t>
            </m:r>
          </m:e>
          <m:sub>
            <m:r>
              <m:rPr/>
              <w:rPr>
                <w:rFonts w:ascii="Cambria Math" w:hAnsi="Cambria Math"/>
              </w:rPr>
              <m:t>base</m:t>
            </m:r>
          </m:sub>
        </m:sSub>
      </m:oMath>
      <w:r>
        <w:rPr>
          <w:rFonts w:ascii="Arial" w:hAnsi="Arial" w:eastAsia="等线" w:cs="Arial"/>
          <w:sz w:val="22"/>
        </w:rPr>
        <w:t xml:space="preserve"> is mathematically expressed as:</w:t>
      </w:r>
    </w:p>
    <w:p w14:paraId="3709E6C0">
      <w:pPr>
        <w:spacing w:before="120" w:after="120" w:line="288" w:lineRule="auto"/>
        <w:ind w:left="0"/>
        <w:jc w:val="left"/>
      </w:pPr>
      <m:oMathPara>
        <m:oMath>
          <m:sSub>
            <m:sSubPr/>
            <m:e>
              <m:r>
                <m:rPr/>
                <w:rPr>
                  <w:rFonts w:ascii="Cambria Math" w:hAnsi="Cambria Math"/>
                </w:rPr>
                <m:t>S</m:t>
              </m:r>
            </m:e>
            <m:sub>
              <m:r>
                <m:rPr/>
                <w:rPr>
                  <w:rFonts w:ascii="Cambria Math" w:hAnsi="Cambria Math"/>
                </w:rPr>
                <m:t>base</m:t>
              </m:r>
            </m:sub>
          </m:sSub>
          <m:d>
            <m:dPr>
              <m:sepChr m:val=","/>
            </m:dPr>
            <m:e>
              <m:r>
                <m:rPr/>
                <w:rPr>
                  <w:rFonts w:ascii="Cambria Math" w:hAnsi="Cambria Math"/>
                </w:rPr>
                <m:t>x</m:t>
              </m:r>
            </m:e>
            <m:e>
              <m:r>
                <m:rPr/>
                <w:rPr>
                  <w:rFonts w:ascii="Cambria Math" w:hAnsi="Cambria Math"/>
                </w:rPr>
                <m:t>y</m:t>
              </m:r>
            </m:e>
          </m:d>
          <m:r>
            <m:rPr/>
            <w:rPr>
              <w:rFonts w:ascii="Cambria Math" w:hAnsi="Cambria Math"/>
            </w:rPr>
            <m:t>=</m:t>
          </m:r>
          <m:sSub>
            <m:sSubPr/>
            <m:e>
              <m:r>
                <m:rPr/>
                <w:rPr>
                  <w:rFonts w:ascii="Cambria Math" w:hAnsi="Cambria Math"/>
                </w:rPr>
                <m:t>ω</m:t>
              </m:r>
            </m:e>
            <m:sub>
              <m:r>
                <m:rPr/>
                <w:rPr>
                  <w:rFonts w:ascii="Cambria Math" w:hAnsi="Cambria Math"/>
                </w:rPr>
                <m:t>1</m:t>
              </m:r>
            </m:sub>
          </m:sSub>
          <m:r>
            <m:rPr/>
            <w:rPr>
              <w:rFonts w:ascii="Cambria Math" w:hAnsi="Cambria Math"/>
            </w:rPr>
            <m:t>⋅</m:t>
          </m:r>
          <m:sSub>
            <m:sSubPr/>
            <m:e>
              <m:r>
                <m:rPr/>
                <w:rPr>
                  <w:rFonts w:ascii="Cambria Math" w:hAnsi="Cambria Math"/>
                </w:rPr>
                <m:t>C</m:t>
              </m:r>
            </m:e>
            <m:sub>
              <m:r>
                <m:rPr/>
                <w:rPr>
                  <w:rFonts w:ascii="Cambria Math" w:hAnsi="Cambria Math"/>
                </w:rPr>
                <m:t>species</m:t>
              </m:r>
            </m:sub>
          </m:sSub>
          <m:r>
            <m:rPr/>
            <w:rPr>
              <w:rFonts w:ascii="Cambria Math" w:hAnsi="Cambria Math"/>
            </w:rPr>
            <m:t>+</m:t>
          </m:r>
          <m:sSub>
            <m:sSubPr/>
            <m:e>
              <m:r>
                <m:rPr/>
                <w:rPr>
                  <w:rFonts w:ascii="Cambria Math" w:hAnsi="Cambria Math"/>
                </w:rPr>
                <m:t>ω</m:t>
              </m:r>
            </m:e>
            <m:sub>
              <m:r>
                <m:rPr/>
                <w:rPr>
                  <w:rFonts w:ascii="Cambria Math" w:hAnsi="Cambria Math"/>
                </w:rPr>
                <m:t>2</m:t>
              </m:r>
            </m:sub>
          </m:sSub>
          <m:r>
            <m:rPr/>
            <w:rPr>
              <w:rFonts w:ascii="Cambria Math" w:hAnsi="Cambria Math"/>
            </w:rPr>
            <m:t>⋅</m:t>
          </m:r>
          <m:sSub>
            <m:sSubPr/>
            <m:e>
              <m:r>
                <m:rPr/>
                <w:rPr>
                  <w:rFonts w:ascii="Cambria Math" w:hAnsi="Cambria Math"/>
                </w:rPr>
                <m:t>C</m:t>
              </m:r>
            </m:e>
            <m:sub>
              <m:r>
                <m:rPr/>
                <w:rPr>
                  <w:rFonts w:ascii="Cambria Math" w:hAnsi="Cambria Math"/>
                </w:rPr>
                <m:t>area</m:t>
              </m:r>
            </m:sub>
          </m:sSub>
          <m:r>
            <m:rPr/>
            <w:rPr>
              <w:rFonts w:ascii="Cambria Math" w:hAnsi="Cambria Math"/>
            </w:rPr>
            <m:t>+</m:t>
          </m:r>
          <m:sSub>
            <m:sSubPr/>
            <m:e>
              <m:r>
                <m:rPr/>
                <w:rPr>
                  <w:rFonts w:ascii="Cambria Math" w:hAnsi="Cambria Math"/>
                </w:rPr>
                <m:t>ω</m:t>
              </m:r>
            </m:e>
            <m:sub>
              <m:r>
                <m:rPr/>
                <w:rPr>
                  <w:rFonts w:ascii="Cambria Math" w:hAnsi="Cambria Math"/>
                </w:rPr>
                <m:t>3</m:t>
              </m:r>
            </m:sub>
          </m:sSub>
          <m:r>
            <m:rPr/>
            <w:rPr>
              <w:rFonts w:ascii="Cambria Math" w:hAnsi="Cambria Math"/>
            </w:rPr>
            <m:t>⋅</m:t>
          </m:r>
          <m:sSub>
            <m:sSubPr/>
            <m:e>
              <m:r>
                <m:rPr/>
                <w:rPr>
                  <w:rFonts w:ascii="Cambria Math" w:hAnsi="Cambria Math"/>
                </w:rPr>
                <m:t>C</m:t>
              </m:r>
            </m:e>
            <m:sub>
              <m:r>
                <m:rPr/>
                <w:rPr>
                  <w:rFonts w:ascii="Cambria Math" w:hAnsi="Cambria Math"/>
                </w:rPr>
                <m:t>eco</m:t>
              </m:r>
            </m:sub>
          </m:sSub>
        </m:oMath>
      </m:oMathPara>
    </w:p>
    <w:p w14:paraId="0702020F">
      <w:pPr>
        <w:spacing w:before="120" w:after="120" w:line="288" w:lineRule="auto"/>
        <w:ind w:left="0"/>
        <w:jc w:val="left"/>
      </w:pPr>
      <w:r>
        <w:rPr>
          <w:rFonts w:ascii="Arial" w:hAnsi="Arial" w:eastAsia="等线" w:cs="Arial"/>
          <w:sz w:val="22"/>
        </w:rPr>
        <w:t xml:space="preserve">Where </w:t>
      </w:r>
      <m:oMath>
        <m:sSub>
          <m:sSubPr/>
          <m:e>
            <m:r>
              <m:rPr/>
              <w:rPr>
                <w:rFonts w:ascii="Cambria Math" w:hAnsi="Cambria Math"/>
              </w:rPr>
              <m:t>C</m:t>
            </m:r>
          </m:e>
          <m:sub>
            <m:r>
              <m:rPr/>
              <w:rPr>
                <w:rFonts w:ascii="Cambria Math" w:hAnsi="Cambria Math"/>
              </w:rPr>
              <m:t>species</m:t>
            </m:r>
          </m:sub>
        </m:sSub>
      </m:oMath>
      <w:r>
        <w:rPr>
          <w:rFonts w:ascii="Arial" w:hAnsi="Arial" w:eastAsia="等线" w:cs="Arial"/>
          <w:sz w:val="22"/>
        </w:rPr>
        <w:t xml:space="preserve"> is the penalty factor for the toxicity/fertility of invasive species (e.g., a high threshold is assigned to </w:t>
      </w:r>
      <w:r>
        <w:rPr>
          <w:rFonts w:ascii="Arial" w:hAnsi="Arial" w:eastAsia="等线" w:cs="Arial"/>
          <w:i/>
          <w:sz w:val="22"/>
        </w:rPr>
        <w:t>Solidago canadensis</w:t>
      </w:r>
      <w:r>
        <w:rPr>
          <w:rFonts w:ascii="Arial" w:hAnsi="Arial" w:eastAsia="等线" w:cs="Arial"/>
          <w:sz w:val="22"/>
        </w:rPr>
        <w:t xml:space="preserve">), </w:t>
      </w:r>
      <m:oMath>
        <m:sSub>
          <m:sSubPr/>
          <m:e>
            <m:r>
              <m:rPr/>
              <w:rPr>
                <w:rFonts w:ascii="Cambria Math" w:hAnsi="Cambria Math"/>
              </w:rPr>
              <m:t>C</m:t>
            </m:r>
          </m:e>
          <m:sub>
            <m:r>
              <m:rPr/>
              <w:rPr>
                <w:rFonts w:ascii="Cambria Math" w:hAnsi="Cambria Math"/>
              </w:rPr>
              <m:t>area</m:t>
            </m:r>
          </m:sub>
        </m:sSub>
      </m:oMath>
      <w:r>
        <w:rPr>
          <w:rFonts w:ascii="Arial" w:hAnsi="Arial" w:eastAsia="等线" w:cs="Arial"/>
          <w:sz w:val="22"/>
        </w:rPr>
        <w:t xml:space="preserve"> is the community coverage ratio, and </w:t>
      </w:r>
      <m:oMath>
        <m:sSub>
          <m:sSubPr/>
          <m:e>
            <m:r>
              <m:rPr/>
              <w:rPr>
                <w:rFonts w:ascii="Cambria Math" w:hAnsi="Cambria Math"/>
              </w:rPr>
              <m:t>C</m:t>
            </m:r>
          </m:e>
          <m:sub>
            <m:r>
              <m:rPr/>
              <w:rPr>
                <w:rFonts w:ascii="Cambria Math" w:hAnsi="Cambria Math"/>
              </w:rPr>
              <m:t>eco</m:t>
            </m:r>
          </m:sub>
        </m:sSub>
      </m:oMath>
      <w:r>
        <w:rPr>
          <w:rFonts w:ascii="Arial" w:hAnsi="Arial" w:eastAsia="等线" w:cs="Arial"/>
          <w:sz w:val="22"/>
        </w:rPr>
        <w:t xml:space="preserve"> is the local ecological fragility. </w:t>
      </w:r>
      <m:oMath>
        <m:sSub>
          <m:sSubPr/>
          <m:e>
            <m:r>
              <m:rPr/>
              <w:rPr>
                <w:rFonts w:ascii="Cambria Math" w:hAnsi="Cambria Math"/>
              </w:rPr>
              <m:t>ω</m:t>
            </m:r>
          </m:e>
          <m:sub>
            <m:r>
              <m:rPr/>
              <w:rPr>
                <w:rFonts w:ascii="Cambria Math" w:hAnsi="Cambria Math"/>
              </w:rPr>
              <m:t>n</m:t>
            </m:r>
          </m:sub>
        </m:sSub>
      </m:oMath>
      <w:r>
        <w:rPr>
          <w:rFonts w:ascii="Arial" w:hAnsi="Arial" w:eastAsia="等线" w:cs="Arial"/>
          <w:sz w:val="22"/>
        </w:rPr>
        <w:t xml:space="preserve"> are normalized weight coefficients verified for consistency.</w:t>
      </w:r>
    </w:p>
    <w:p w14:paraId="5F88B159">
      <w:pPr>
        <w:spacing w:before="260" w:after="120" w:line="288" w:lineRule="auto"/>
        <w:ind w:left="0"/>
        <w:jc w:val="left"/>
        <w:outlineLvl w:val="3"/>
      </w:pPr>
      <w:bookmarkStart w:id="5" w:name="heading_5"/>
      <w:r>
        <w:rPr>
          <w:rFonts w:ascii="Arial" w:hAnsi="Arial" w:eastAsia="等线" w:cs="Arial"/>
          <w:b/>
          <w:sz w:val="28"/>
        </w:rPr>
        <w:t>2. Dynamic Gaussian Attenuation for Natural Spread</w:t>
      </w:r>
      <w:bookmarkEnd w:id="5"/>
    </w:p>
    <w:p w14:paraId="2EB719FA">
      <w:pPr>
        <w:spacing w:before="120" w:after="120" w:line="288" w:lineRule="auto"/>
        <w:ind w:left="0"/>
        <w:jc w:val="left"/>
      </w:pPr>
      <w:r>
        <w:rPr>
          <w:rFonts w:ascii="Arial" w:hAnsi="Arial" w:eastAsia="等线" w:cs="Arial"/>
          <w:sz w:val="22"/>
        </w:rPr>
        <w:t>In view of the biological characteristic of biological invasion spreading from the outbreak center to the periphery, the system performs multi-center Gaussian smoothing filtering on discrete outbreak points to generate a thermal early-warning map (Warning Map) consistent with the real vegetation growth trend:</w:t>
      </w:r>
    </w:p>
    <w:p w14:paraId="4966563C">
      <w:pPr>
        <w:spacing w:before="120" w:after="120" w:line="288" w:lineRule="auto"/>
        <w:ind w:left="0"/>
        <w:jc w:val="left"/>
      </w:pPr>
      <m:oMathPara>
        <m:oMath>
          <m:r>
            <m:rPr/>
            <w:rPr>
              <w:rFonts w:ascii="Cambria Math" w:hAnsi="Cambria Math"/>
            </w:rPr>
            <m:t>Cost</m:t>
          </m:r>
          <m:d>
            <m:dPr>
              <m:sepChr m:val=","/>
            </m:dPr>
            <m:e>
              <m:r>
                <m:rPr/>
                <w:rPr>
                  <w:rFonts w:ascii="Cambria Math" w:hAnsi="Cambria Math"/>
                </w:rPr>
                <m:t>x</m:t>
              </m:r>
            </m:e>
            <m:e>
              <m:r>
                <m:rPr/>
                <w:rPr>
                  <w:rFonts w:ascii="Cambria Math" w:hAnsi="Cambria Math"/>
                </w:rPr>
                <m:t>y</m:t>
              </m:r>
            </m:e>
          </m:d>
          <m:r>
            <m:rPr/>
            <w:rPr>
              <w:rFonts w:ascii="Cambria Math" w:hAnsi="Cambria Math"/>
            </w:rPr>
            <m:t>=min</m:t>
          </m:r>
          <m:d>
            <m:dPr>
              <m:sepChr m:val=","/>
            </m:dPr>
            <m:e>
              <m:r>
                <m:rPr/>
                <w:rPr>
                  <w:rFonts w:ascii="Cambria Math" w:hAnsi="Cambria Math"/>
                </w:rPr>
                <m:t>100</m:t>
              </m:r>
            </m:e>
            <m:e>
              <m:nary>
                <m:naryPr>
                  <m:chr m:val="∑"/>
                  <m:grow m:val="1"/>
                  <m:limLoc m:val="subSup"/>
                </m:naryPr>
                <m:sub>
                  <m:r>
                    <m:rPr/>
                    <w:rPr>
                      <w:rFonts w:ascii="Cambria Math" w:hAnsi="Cambria Math"/>
                    </w:rPr>
                    <m:t>i=1</m:t>
                  </m:r>
                </m:sub>
                <m:sup>
                  <m:r>
                    <m:rPr/>
                    <w:rPr>
                      <w:rFonts w:ascii="Cambria Math" w:hAnsi="Cambria Math"/>
                    </w:rPr>
                    <m:t>n</m:t>
                  </m:r>
                </m:sup>
                <m:e>
                  <m:r>
                    <m:rPr>
                      <m:sty m:val="p"/>
                    </m:rPr>
                    <w:rPr>
                      <w:rFonts w:hint="default" w:ascii="Cambria Math" w:hAnsi="Cambria Math"/>
                      <w:lang w:val="en-US" w:eastAsia="zh-CN"/>
                    </w:rPr>
                    <m:t xml:space="preserve"> </m:t>
                  </m:r>
                </m:e>
              </m:nary>
              <m:sSubSup>
                <m:sSubSupPr/>
                <m:e>
                  <m:r>
                    <m:rPr/>
                    <w:rPr>
                      <w:rFonts w:ascii="Cambria Math" w:hAnsi="Cambria Math"/>
                    </w:rPr>
                    <m:t>S</m:t>
                  </m:r>
                </m:e>
                <m:sub>
                  <m:r>
                    <m:rPr/>
                    <w:rPr>
                      <w:rFonts w:ascii="Cambria Math" w:hAnsi="Cambria Math"/>
                    </w:rPr>
                    <m:t>base</m:t>
                  </m:r>
                </m:sub>
                <m:sup>
                  <m:d>
                    <m:dPr>
                      <m:sepChr m:val=","/>
                    </m:dPr>
                    <m:e>
                      <m:r>
                        <m:rPr/>
                        <w:rPr>
                          <w:rFonts w:ascii="Cambria Math" w:hAnsi="Cambria Math"/>
                        </w:rPr>
                        <m:t>i</m:t>
                      </m:r>
                    </m:e>
                  </m:d>
                </m:sup>
              </m:sSubSup>
              <m:r>
                <m:rPr/>
                <w:rPr>
                  <w:rFonts w:ascii="Cambria Math" w:hAnsi="Cambria Math"/>
                </w:rPr>
                <m:t>⋅exp</m:t>
              </m:r>
              <m:d>
                <m:dPr>
                  <m:sepChr m:val=","/>
                </m:dPr>
                <m:e>
                  <m:r>
                    <m:rPr/>
                    <w:rPr>
                      <w:rFonts w:ascii="Cambria Math" w:hAnsi="Cambria Math"/>
                    </w:rPr>
                    <m:t>−</m:t>
                  </m:r>
                  <m:f>
                    <m:fPr/>
                    <m:num>
                      <m:sSup>
                        <m:sSupPr/>
                        <m:e>
                          <m:d>
                            <m:dPr>
                              <m:sepChr m:val=","/>
                            </m:dPr>
                            <m:e>
                              <m:r>
                                <m:rPr/>
                                <w:rPr>
                                  <w:rFonts w:ascii="Cambria Math" w:hAnsi="Cambria Math"/>
                                </w:rPr>
                                <m:t>x−</m:t>
                              </m:r>
                              <m:sSub>
                                <m:sSubPr/>
                                <m:e>
                                  <m:r>
                                    <m:rPr/>
                                    <w:rPr>
                                      <w:rFonts w:ascii="Cambria Math" w:hAnsi="Cambria Math"/>
                                    </w:rPr>
                                    <m:t>x</m:t>
                                  </m:r>
                                </m:e>
                                <m:sub>
                                  <m:r>
                                    <m:rPr/>
                                    <w:rPr>
                                      <w:rFonts w:ascii="Cambria Math" w:hAnsi="Cambria Math"/>
                                    </w:rPr>
                                    <m:t>i</m:t>
                                  </m:r>
                                </m:sub>
                              </m:sSub>
                            </m:e>
                          </m:d>
                        </m:e>
                        <m:sup>
                          <m:r>
                            <m:rPr/>
                            <w:rPr>
                              <w:rFonts w:ascii="Cambria Math" w:hAnsi="Cambria Math"/>
                            </w:rPr>
                            <m:t>2</m:t>
                          </m:r>
                        </m:sup>
                      </m:sSup>
                      <m:r>
                        <m:rPr/>
                        <w:rPr>
                          <w:rFonts w:ascii="Cambria Math" w:hAnsi="Cambria Math"/>
                        </w:rPr>
                        <m:t>+</m:t>
                      </m:r>
                      <m:sSup>
                        <m:sSupPr/>
                        <m:e>
                          <m:d>
                            <m:dPr>
                              <m:sepChr m:val=","/>
                            </m:dPr>
                            <m:e>
                              <m:r>
                                <m:rPr/>
                                <w:rPr>
                                  <w:rFonts w:ascii="Cambria Math" w:hAnsi="Cambria Math"/>
                                </w:rPr>
                                <m:t>y−</m:t>
                              </m:r>
                              <m:sSub>
                                <m:sSubPr/>
                                <m:e>
                                  <m:r>
                                    <m:rPr/>
                                    <w:rPr>
                                      <w:rFonts w:ascii="Cambria Math" w:hAnsi="Cambria Math"/>
                                    </w:rPr>
                                    <m:t>y</m:t>
                                  </m:r>
                                </m:e>
                                <m:sub>
                                  <m:r>
                                    <m:rPr/>
                                    <w:rPr>
                                      <w:rFonts w:ascii="Cambria Math" w:hAnsi="Cambria Math"/>
                                    </w:rPr>
                                    <m:t>i</m:t>
                                  </m:r>
                                </m:sub>
                              </m:sSub>
                            </m:e>
                          </m:d>
                        </m:e>
                        <m:sup>
                          <m:r>
                            <m:rPr/>
                            <w:rPr>
                              <w:rFonts w:ascii="Cambria Math" w:hAnsi="Cambria Math"/>
                            </w:rPr>
                            <m:t>2</m:t>
                          </m:r>
                        </m:sup>
                      </m:sSup>
                    </m:num>
                    <m:den>
                      <m:r>
                        <m:rPr/>
                        <w:rPr>
                          <w:rFonts w:ascii="Cambria Math" w:hAnsi="Cambria Math"/>
                        </w:rPr>
                        <m:t>2</m:t>
                      </m:r>
                      <m:sSubSup>
                        <m:sSubSupPr/>
                        <m:e>
                          <m:r>
                            <m:rPr/>
                            <w:rPr>
                              <w:rFonts w:ascii="Cambria Math" w:hAnsi="Cambria Math"/>
                            </w:rPr>
                            <m:t>σ</m:t>
                          </m:r>
                        </m:e>
                        <m:sub>
                          <m:r>
                            <m:rPr/>
                            <w:rPr>
                              <w:rFonts w:ascii="Cambria Math" w:hAnsi="Cambria Math"/>
                            </w:rPr>
                            <m:t>i</m:t>
                          </m:r>
                        </m:sub>
                        <m:sup>
                          <m:r>
                            <m:rPr/>
                            <w:rPr>
                              <w:rFonts w:ascii="Cambria Math" w:hAnsi="Cambria Math"/>
                            </w:rPr>
                            <m:t>2</m:t>
                          </m:r>
                        </m:sup>
                      </m:sSubSup>
                    </m:den>
                  </m:f>
                </m:e>
              </m:d>
              <m:r>
                <m:rPr/>
                <w:rPr>
                  <w:rFonts w:ascii="Cambria Math" w:hAnsi="Cambria Math"/>
                </w:rPr>
                <m:t>+ε</m:t>
              </m:r>
            </m:e>
          </m:d>
        </m:oMath>
      </m:oMathPara>
    </w:p>
    <w:p w14:paraId="65CD5B39">
      <w:pPr>
        <w:spacing w:before="120" w:after="120" w:line="288" w:lineRule="auto"/>
        <w:ind w:left="0"/>
        <w:jc w:val="left"/>
      </w:pPr>
      <w:r>
        <w:rPr>
          <w:rFonts w:ascii="Arial" w:hAnsi="Arial" w:eastAsia="等线" w:cs="Arial"/>
          <w:sz w:val="22"/>
        </w:rPr>
        <w:t xml:space="preserve">Where </w:t>
      </w:r>
      <m:oMath>
        <m:sSub>
          <m:sSubPr/>
          <m:e>
            <m:r>
              <m:rPr/>
              <w:rPr>
                <w:rFonts w:ascii="Cambria Math" w:hAnsi="Cambria Math"/>
              </w:rPr>
              <m:t>σ</m:t>
            </m:r>
          </m:e>
          <m:sub>
            <m:r>
              <m:rPr/>
              <w:rPr>
                <w:rFonts w:ascii="Cambria Math" w:hAnsi="Cambria Math"/>
              </w:rPr>
              <m:t>i</m:t>
            </m:r>
          </m:sub>
        </m:sSub>
      </m:oMath>
      <w:r>
        <w:rPr>
          <w:rFonts w:ascii="Arial" w:hAnsi="Arial" w:eastAsia="等线" w:cs="Arial"/>
          <w:sz w:val="22"/>
        </w:rPr>
        <w:t xml:space="preserve"> is the spread radius of the </w:t>
      </w:r>
      <m:oMath>
        <m:r>
          <m:rPr/>
          <w:rPr>
            <w:rFonts w:ascii="Cambria Math" w:hAnsi="Cambria Math"/>
          </w:rPr>
          <m:t>i</m:t>
        </m:r>
      </m:oMath>
      <w:r>
        <w:rPr>
          <w:rFonts w:ascii="Arial" w:hAnsi="Arial" w:eastAsia="等线" w:cs="Arial"/>
          <w:sz w:val="22"/>
        </w:rPr>
        <w:t xml:space="preserve">-th community, and </w:t>
      </w:r>
      <m:oMath>
        <m:r>
          <m:rPr/>
          <w:rPr>
            <w:rFonts w:ascii="Cambria Math" w:hAnsi="Cambria Math"/>
          </w:rPr>
          <m:t>ε</m:t>
        </m:r>
      </m:oMath>
      <w:r>
        <w:rPr>
          <w:rFonts w:ascii="Arial" w:hAnsi="Arial" w:eastAsia="等线" w:cs="Arial"/>
          <w:sz w:val="22"/>
        </w:rPr>
        <w:t xml:space="preserve"> is the random environmental noise simulating the natural environmental gradient. This algorithm ensures a smooth transition of the map risk gradient (0-100 points) and provides a continuous cost potential field for subsequent pathfinding algorithms.</w:t>
      </w:r>
    </w:p>
    <w:p w14:paraId="3B9ED214">
      <w:pPr>
        <w:spacing w:before="300" w:after="120" w:line="288" w:lineRule="auto"/>
        <w:ind w:left="0"/>
        <w:jc w:val="left"/>
        <w:outlineLvl w:val="2"/>
      </w:pPr>
      <w:bookmarkStart w:id="6" w:name="heading_6"/>
      <w:r>
        <w:rPr>
          <w:rFonts w:ascii="Arial" w:hAnsi="Arial" w:eastAsia="等线" w:cs="Arial"/>
          <w:b/>
          <w:sz w:val="30"/>
        </w:rPr>
        <w:t>3.2 Multi-Agent Task Optimization and Collaborative Planning</w:t>
      </w:r>
      <w:bookmarkEnd w:id="6"/>
    </w:p>
    <w:p w14:paraId="7500D5C8">
      <w:pPr>
        <w:spacing w:before="120" w:after="120" w:line="288" w:lineRule="auto"/>
        <w:ind w:left="0"/>
        <w:jc w:val="left"/>
      </w:pPr>
      <w:r>
        <w:rPr>
          <w:rFonts w:ascii="Arial" w:hAnsi="Arial" w:eastAsia="等线" w:cs="Arial"/>
          <w:sz w:val="22"/>
        </w:rPr>
        <w:t>The global path planning of this system abandons the traditional pure geometric obstacle avoidance, and instead transforms it into an optimization problem with terrain cost penalties and multi-agent resource constraints.</w:t>
      </w:r>
    </w:p>
    <w:p w14:paraId="5D4ECB02">
      <w:pPr>
        <w:spacing w:before="260" w:after="120" w:line="288" w:lineRule="auto"/>
        <w:ind w:left="0"/>
        <w:jc w:val="left"/>
        <w:outlineLvl w:val="3"/>
      </w:pPr>
      <w:bookmarkStart w:id="7" w:name="heading_7"/>
      <w:r>
        <w:rPr>
          <w:rFonts w:ascii="Arial" w:hAnsi="Arial" w:eastAsia="等线" w:cs="Arial"/>
          <w:b/>
          <w:sz w:val="28"/>
        </w:rPr>
        <w:t>1. Environment Cost-Sensitive A* Algorithm</w:t>
      </w:r>
      <w:bookmarkEnd w:id="7"/>
    </w:p>
    <w:p w14:paraId="16FF6BEE">
      <w:pPr>
        <w:spacing w:before="120" w:after="120" w:line="288" w:lineRule="auto"/>
        <w:ind w:left="0"/>
        <w:jc w:val="left"/>
      </w:pPr>
      <w:r>
        <w:rPr>
          <w:rFonts w:ascii="Arial" w:hAnsi="Arial" w:eastAsia="等线" w:cs="Arial"/>
          <w:sz w:val="22"/>
        </w:rPr>
        <w:t>The risk weight of the early-warning map is introduced into the node cost calculation of the traditional A* algorithm, and the heuristic cost function is reconstructed as follows:</w:t>
      </w:r>
    </w:p>
    <w:p w14:paraId="1745F585">
      <w:pPr>
        <w:spacing w:before="120" w:after="120" w:line="288" w:lineRule="auto"/>
        <w:ind w:left="0"/>
        <w:jc w:val="left"/>
      </w:pPr>
      <m:oMathPara>
        <m:oMath>
          <m:r>
            <m:rPr/>
            <w:rPr>
              <w:rFonts w:ascii="Cambria Math" w:hAnsi="Cambria Math"/>
            </w:rPr>
            <m:t>f</m:t>
          </m:r>
          <m:d>
            <m:dPr>
              <m:sepChr m:val=","/>
            </m:dPr>
            <m:e>
              <m:r>
                <m:rPr/>
                <w:rPr>
                  <w:rFonts w:ascii="Cambria Math" w:hAnsi="Cambria Math"/>
                </w:rPr>
                <m:t>n</m:t>
              </m:r>
            </m:e>
          </m:d>
          <m:r>
            <m:rPr/>
            <w:rPr>
              <w:rFonts w:ascii="Cambria Math" w:hAnsi="Cambria Math"/>
            </w:rPr>
            <m:t>=g</m:t>
          </m:r>
          <m:d>
            <m:dPr>
              <m:sepChr m:val=","/>
            </m:dPr>
            <m:e>
              <m:r>
                <m:rPr/>
                <w:rPr>
                  <w:rFonts w:ascii="Cambria Math" w:hAnsi="Cambria Math"/>
                </w:rPr>
                <m:t>n</m:t>
              </m:r>
            </m:e>
          </m:d>
          <m:r>
            <m:rPr/>
            <w:rPr>
              <w:rFonts w:ascii="Cambria Math" w:hAnsi="Cambria Math"/>
            </w:rPr>
            <m:t>+h</m:t>
          </m:r>
          <m:d>
            <m:dPr>
              <m:sepChr m:val=","/>
            </m:dPr>
            <m:e>
              <m:r>
                <m:rPr/>
                <w:rPr>
                  <w:rFonts w:ascii="Cambria Math" w:hAnsi="Cambria Math"/>
                </w:rPr>
                <m:t>n</m:t>
              </m:r>
            </m:e>
          </m:d>
        </m:oMath>
      </m:oMathPara>
    </w:p>
    <w:p w14:paraId="60056C37">
      <w:pPr>
        <w:spacing w:before="120" w:after="120" w:line="288" w:lineRule="auto"/>
        <w:ind w:left="0"/>
        <w:jc w:val="left"/>
      </w:pPr>
      <m:oMathPara>
        <m:oMath>
          <m:r>
            <m:rPr/>
            <w:rPr>
              <w:rFonts w:ascii="Cambria Math" w:hAnsi="Cambria Math"/>
            </w:rPr>
            <m:t>g</m:t>
          </m:r>
          <m:d>
            <m:dPr>
              <m:sepChr m:val=","/>
            </m:dPr>
            <m:e>
              <m:r>
                <m:rPr/>
                <w:rPr>
                  <w:rFonts w:ascii="Cambria Math" w:hAnsi="Cambria Math"/>
                </w:rPr>
                <m:t>n</m:t>
              </m:r>
            </m:e>
          </m:d>
          <m:r>
            <m:rPr/>
            <w:rPr>
              <w:rFonts w:ascii="Cambria Math" w:hAnsi="Cambria Math"/>
            </w:rPr>
            <m:t>=g</m:t>
          </m:r>
          <m:d>
            <m:dPr>
              <m:sepChr m:val=","/>
            </m:dPr>
            <m:e>
              <m:r>
                <m:rPr/>
                <w:rPr>
                  <w:rFonts w:ascii="Cambria Math" w:hAnsi="Cambria Math"/>
                </w:rPr>
                <m:t>n−1</m:t>
              </m:r>
            </m:e>
          </m:d>
          <m:r>
            <m:rPr/>
            <w:rPr>
              <w:rFonts w:ascii="Cambria Math" w:hAnsi="Cambria Math"/>
            </w:rPr>
            <m:t>+L</m:t>
          </m:r>
          <m:d>
            <m:dPr>
              <m:sepChr m:val=","/>
            </m:dPr>
            <m:e>
              <m:r>
                <m:rPr/>
                <w:rPr>
                  <w:rFonts w:ascii="Cambria Math" w:hAnsi="Cambria Math"/>
                </w:rPr>
                <m:t>n−1</m:t>
              </m:r>
            </m:e>
            <m:e>
              <m:r>
                <m:rPr/>
                <w:rPr>
                  <w:rFonts w:ascii="Cambria Math" w:hAnsi="Cambria Math"/>
                </w:rPr>
                <m:t>n</m:t>
              </m:r>
            </m:e>
          </m:d>
          <m:r>
            <m:rPr/>
            <w:rPr>
              <w:rFonts w:ascii="Cambria Math" w:hAnsi="Cambria Math"/>
            </w:rPr>
            <m:t>⋅</m:t>
          </m:r>
          <m:d>
            <m:dPr>
              <m:sepChr m:val=","/>
            </m:dPr>
            <m:e>
              <m:r>
                <m:rPr/>
                <w:rPr>
                  <w:rFonts w:ascii="Cambria Math" w:hAnsi="Cambria Math"/>
                </w:rPr>
                <m:t>1+</m:t>
              </m:r>
              <m:f>
                <m:fPr/>
                <m:num>
                  <m:r>
                    <m:rPr/>
                    <w:rPr>
                      <w:rFonts w:ascii="Cambria Math" w:hAnsi="Cambria Math"/>
                    </w:rPr>
                    <m:t>Cost</m:t>
                  </m:r>
                  <m:d>
                    <m:dPr>
                      <m:sepChr m:val=","/>
                    </m:dPr>
                    <m:e>
                      <m:r>
                        <m:rPr/>
                        <w:rPr>
                          <w:rFonts w:ascii="Cambria Math" w:hAnsi="Cambria Math"/>
                        </w:rPr>
                        <m:t>n</m:t>
                      </m:r>
                    </m:e>
                  </m:d>
                </m:num>
                <m:den>
                  <m:r>
                    <m:rPr/>
                    <w:rPr>
                      <w:rFonts w:ascii="Cambria Math" w:hAnsi="Cambria Math"/>
                    </w:rPr>
                    <m:t>10.0</m:t>
                  </m:r>
                </m:den>
              </m:f>
            </m:e>
          </m:d>
        </m:oMath>
      </m:oMathPara>
    </w:p>
    <w:p w14:paraId="441AACE1">
      <w:pPr>
        <w:spacing w:before="120" w:after="120" w:line="288" w:lineRule="auto"/>
        <w:ind w:left="0"/>
        <w:jc w:val="left"/>
      </w:pPr>
      <w:r>
        <w:rPr>
          <w:rFonts w:ascii="Arial" w:hAnsi="Arial" w:eastAsia="等线" w:cs="Arial"/>
          <w:sz w:val="22"/>
        </w:rPr>
        <w:t xml:space="preserve">Where </w:t>
      </w:r>
      <m:oMath>
        <m:r>
          <m:rPr/>
          <w:rPr>
            <w:rFonts w:ascii="Cambria Math" w:hAnsi="Cambria Math"/>
          </w:rPr>
          <m:t>L</m:t>
        </m:r>
      </m:oMath>
      <w:r>
        <w:rPr>
          <w:rFonts w:ascii="Arial" w:hAnsi="Arial" w:eastAsia="等线" w:cs="Arial"/>
          <w:sz w:val="22"/>
        </w:rPr>
        <w:t xml:space="preserve"> is the Euclidean movement step size. When the target point is deep in a high-risk area, the system automatically avoids the high-cost spread area in the periphery (reducing the risk of track mechanical wear and adhesion), and selects the "entry point" with the minimum comprehensive cost to directly reach the core target.</w:t>
      </w:r>
    </w:p>
    <w:p w14:paraId="20A91E4F">
      <w:pPr>
        <w:spacing w:before="260" w:after="120" w:line="288" w:lineRule="auto"/>
        <w:ind w:left="0"/>
        <w:jc w:val="left"/>
        <w:outlineLvl w:val="3"/>
      </w:pPr>
      <w:bookmarkStart w:id="8" w:name="heading_8"/>
      <w:r>
        <w:rPr>
          <w:rFonts w:ascii="Arial" w:hAnsi="Arial" w:eastAsia="等线" w:cs="Arial"/>
          <w:b/>
          <w:sz w:val="28"/>
        </w:rPr>
        <w:t>2. Multi-Agent Scheduling Under Resource State Constraints</w:t>
      </w:r>
      <w:bookmarkEnd w:id="8"/>
    </w:p>
    <w:p w14:paraId="74CBF76F">
      <w:pPr>
        <w:spacing w:before="120" w:after="120" w:line="288" w:lineRule="auto"/>
        <w:ind w:left="0"/>
        <w:jc w:val="left"/>
      </w:pPr>
      <w:r>
        <w:rPr>
          <w:rFonts w:ascii="Arial" w:hAnsi="Arial" w:eastAsia="等线" w:cs="Arial"/>
          <w:sz w:val="22"/>
        </w:rPr>
        <w:t xml:space="preserve">When processing multiple operation targets, the system performs status polling on the online cluster (Agents </w:t>
      </w:r>
      <m:oMath>
        <m:r>
          <m:rPr/>
          <w:rPr>
            <w:rFonts w:ascii="Cambria Math" w:hAnsi="Cambria Math"/>
          </w:rPr>
          <m:t>A,B,...</m:t>
        </m:r>
      </m:oMath>
      <w:r>
        <w:rPr>
          <w:rFonts w:ascii="Arial" w:hAnsi="Arial" w:eastAsia="等线" w:cs="Arial"/>
          <w:sz w:val="22"/>
        </w:rPr>
        <w:t>) and establishes a multi-dimensional joint cost evaluation matrix. The allocation decision logic not only calculates the spatial topological distance, but also introduces hardware resource threshold verification:</w:t>
      </w:r>
    </w:p>
    <w:p w14:paraId="0D8A0029">
      <w:pPr>
        <w:spacing w:before="120" w:after="120" w:line="288" w:lineRule="auto"/>
        <w:ind w:left="0"/>
        <w:jc w:val="left"/>
      </w:pPr>
      <w:r>
        <w:rPr>
          <w:rFonts w:ascii="Arial" w:hAnsi="Arial" w:eastAsia="等线" w:cs="Arial"/>
          <w:sz w:val="22"/>
        </w:rPr>
        <w:t xml:space="preserve">Distance cost: </w:t>
      </w:r>
      <m:oMath>
        <m:sSub>
          <m:sSubPr/>
          <m:e>
            <m:r>
              <m:rPr/>
              <w:rPr>
                <w:rFonts w:ascii="Cambria Math" w:hAnsi="Cambria Math"/>
              </w:rPr>
              <m:t>D</m:t>
            </m:r>
          </m:e>
          <m:sub>
            <m:r>
              <m:rPr/>
              <w:rPr>
                <w:rFonts w:ascii="Cambria Math" w:hAnsi="Cambria Math"/>
              </w:rPr>
              <m:t>k</m:t>
            </m:r>
          </m:sub>
        </m:sSub>
        <m:r>
          <m:rPr/>
          <w:rPr>
            <w:rFonts w:ascii="Cambria Math" w:hAnsi="Cambria Math"/>
          </w:rPr>
          <m:t>=Length</m:t>
        </m:r>
        <m:d>
          <m:dPr>
            <m:sepChr m:val=","/>
          </m:dPr>
          <m:e>
            <m:r>
              <m:rPr/>
              <w:rPr>
                <w:rFonts w:ascii="Cambria Math" w:hAnsi="Cambria Math"/>
              </w:rPr>
              <m:t>Pat</m:t>
            </m:r>
            <m:sSub>
              <m:sSubPr/>
              <m:e>
                <m:r>
                  <m:rPr/>
                  <w:rPr>
                    <w:rFonts w:ascii="Cambria Math" w:hAnsi="Cambria Math"/>
                  </w:rPr>
                  <m:t>h</m:t>
                </m:r>
              </m:e>
              <m:sub>
                <m:r>
                  <m:rPr/>
                  <w:rPr>
                    <w:rFonts w:ascii="Cambria Math" w:hAnsi="Cambria Math"/>
                  </w:rPr>
                  <m:t>k</m:t>
                </m:r>
              </m:sub>
            </m:sSub>
          </m:e>
        </m:d>
      </m:oMath>
    </w:p>
    <w:p w14:paraId="102B0D38">
      <w:pPr>
        <w:spacing w:before="120" w:after="120" w:line="288" w:lineRule="auto"/>
        <w:ind w:left="0"/>
        <w:jc w:val="left"/>
      </w:pPr>
      <w:r>
        <w:rPr>
          <w:rFonts w:ascii="Arial" w:hAnsi="Arial" w:eastAsia="等线" w:cs="Arial"/>
          <w:sz w:val="22"/>
        </w:rPr>
        <w:t xml:space="preserve">Resource state constraints: Judge that the remaining battery power </w:t>
      </w:r>
      <m:oMath>
        <m:r>
          <m:rPr/>
          <w:rPr>
            <w:rFonts w:ascii="Cambria Math" w:hAnsi="Cambria Math"/>
          </w:rPr>
          <m:t>Batter</m:t>
        </m:r>
        <m:sSub>
          <m:sSubPr/>
          <m:e>
            <m:r>
              <m:rPr/>
              <w:rPr>
                <w:rFonts w:ascii="Cambria Math" w:hAnsi="Cambria Math"/>
              </w:rPr>
              <m:t>y</m:t>
            </m:r>
          </m:e>
          <m:sub>
            <m:r>
              <m:rPr/>
              <w:rPr>
                <w:rFonts w:ascii="Cambria Math" w:hAnsi="Cambria Math"/>
              </w:rPr>
              <m:t>k</m:t>
            </m:r>
          </m:sub>
        </m:sSub>
        <m:r>
          <m:rPr/>
          <w:rPr>
            <w:rFonts w:ascii="Cambria Math" w:hAnsi="Cambria Math"/>
          </w:rPr>
          <m:t>≥</m:t>
        </m:r>
        <m:sSub>
          <m:sSubPr/>
          <m:e>
            <m:r>
              <m:rPr/>
              <w:rPr>
                <w:rFonts w:ascii="Cambria Math" w:hAnsi="Cambria Math"/>
              </w:rPr>
              <m:t>θ</m:t>
            </m:r>
          </m:e>
          <m:sub>
            <m:r>
              <m:rPr/>
              <w:rPr>
                <w:rFonts w:ascii="Cambria Math" w:hAnsi="Cambria Math"/>
              </w:rPr>
              <m:t>E</m:t>
            </m:r>
          </m:sub>
        </m:sSub>
      </m:oMath>
      <w:r>
        <w:rPr>
          <w:rFonts w:ascii="Arial" w:hAnsi="Arial" w:eastAsia="等线" w:cs="Arial"/>
          <w:sz w:val="22"/>
        </w:rPr>
        <w:t xml:space="preserve"> and remaining chemical agents </w:t>
      </w:r>
      <m:oMath>
        <m:r>
          <m:rPr/>
          <w:rPr>
            <w:rFonts w:ascii="Cambria Math" w:hAnsi="Cambria Math"/>
          </w:rPr>
          <m:t>Payloa</m:t>
        </m:r>
        <m:sSub>
          <m:sSubPr/>
          <m:e>
            <m:r>
              <m:rPr/>
              <w:rPr>
                <w:rFonts w:ascii="Cambria Math" w:hAnsi="Cambria Math"/>
              </w:rPr>
              <m:t>d</m:t>
            </m:r>
          </m:e>
          <m:sub>
            <m:r>
              <m:rPr/>
              <w:rPr>
                <w:rFonts w:ascii="Cambria Math" w:hAnsi="Cambria Math"/>
              </w:rPr>
              <m:t>k</m:t>
            </m:r>
          </m:sub>
        </m:sSub>
        <m:r>
          <m:rPr/>
          <w:rPr>
            <w:rFonts w:ascii="Cambria Math" w:hAnsi="Cambria Math"/>
          </w:rPr>
          <m:t>≥</m:t>
        </m:r>
        <m:sSub>
          <m:sSubPr/>
          <m:e>
            <m:r>
              <m:rPr/>
              <w:rPr>
                <w:rFonts w:ascii="Cambria Math" w:hAnsi="Cambria Math"/>
              </w:rPr>
              <m:t>θ</m:t>
            </m:r>
          </m:e>
          <m:sub>
            <m:r>
              <m:rPr/>
              <w:rPr>
                <w:rFonts w:ascii="Cambria Math" w:hAnsi="Cambria Math"/>
              </w:rPr>
              <m:t>P</m:t>
            </m:r>
          </m:sub>
        </m:sSub>
      </m:oMath>
      <w:r>
        <w:rPr>
          <w:rFonts w:ascii="Arial" w:hAnsi="Arial" w:eastAsia="等线" w:cs="Arial"/>
          <w:sz w:val="22"/>
        </w:rPr>
        <w:t xml:space="preserve"> of the </w:t>
      </w:r>
      <m:oMath>
        <m:r>
          <m:rPr/>
          <w:rPr>
            <w:rFonts w:ascii="Cambria Math" w:hAnsi="Cambria Math"/>
          </w:rPr>
          <m:t>k</m:t>
        </m:r>
      </m:oMath>
      <w:r>
        <w:rPr>
          <w:rFonts w:ascii="Arial" w:hAnsi="Arial" w:eastAsia="等线" w:cs="Arial"/>
          <w:sz w:val="22"/>
        </w:rPr>
        <w:t>-th robot.</w:t>
      </w:r>
    </w:p>
    <w:p w14:paraId="78141CE4">
      <w:pPr>
        <w:spacing w:before="120" w:after="120" w:line="288" w:lineRule="auto"/>
        <w:ind w:left="0"/>
        <w:jc w:val="left"/>
      </w:pPr>
      <w:r>
        <w:rPr>
          <w:rFonts w:ascii="Arial" w:hAnsi="Arial" w:eastAsia="等线" w:cs="Arial"/>
          <w:sz w:val="22"/>
        </w:rPr>
        <w:t xml:space="preserve">When the preferred optimal node triggers the protection threshold due to resource scarcity (e.g., chemical agents </w:t>
      </w:r>
      <m:oMath>
        <m:r>
          <m:rPr>
            <m:sty m:val="p"/>
          </m:rPr>
          <w:rPr>
            <w:rFonts w:ascii="Cambria Math" w:hAnsi="Cambria Math"/>
          </w:rPr>
          <m:t>&lt;20%</m:t>
        </m:r>
      </m:oMath>
      <w:r>
        <w:rPr>
          <w:rFonts w:ascii="Arial" w:hAnsi="Arial" w:eastAsia="等线" w:cs="Arial"/>
          <w:sz w:val="22"/>
        </w:rPr>
        <w:t>), the scheduler will perform suboptimal solution reallocation and mobilize fully loaded robots across regions to execute tasks, completely eliminating engineering accidents such as "breaking down halfway" and realizing real dynamic and robust scheduling of multi-agents.</w:t>
      </w:r>
    </w:p>
    <w:p w14:paraId="6A1F4B3A">
      <w:pPr>
        <w:spacing w:before="300" w:after="120" w:line="288" w:lineRule="auto"/>
        <w:ind w:left="0"/>
        <w:jc w:val="left"/>
        <w:outlineLvl w:val="2"/>
      </w:pPr>
      <w:bookmarkStart w:id="9" w:name="heading_9"/>
      <w:r>
        <w:rPr>
          <w:rFonts w:ascii="Arial" w:hAnsi="Arial" w:eastAsia="等线" w:cs="Arial"/>
          <w:b/>
          <w:sz w:val="30"/>
        </w:rPr>
        <w:t>3.3 Information Decision-Making and Precision Operation Control</w:t>
      </w:r>
      <w:bookmarkEnd w:id="9"/>
    </w:p>
    <w:p w14:paraId="56F03A20">
      <w:pPr>
        <w:spacing w:before="120" w:after="120" w:line="288" w:lineRule="auto"/>
        <w:ind w:left="0"/>
        <w:jc w:val="left"/>
      </w:pPr>
      <w:r>
        <w:rPr>
          <w:rFonts w:ascii="Arial" w:hAnsi="Arial" w:eastAsia="等线" w:cs="Arial"/>
          <w:sz w:val="22"/>
        </w:rPr>
        <w:t>To eliminate the "information island" between upper-layer software and underlying drivers, the information decision-making module adopts a rigorous state machine architecture and a structured message issuance mechanism.</w:t>
      </w:r>
    </w:p>
    <w:p w14:paraId="44711E9F">
      <w:pPr>
        <w:spacing w:before="120" w:after="120" w:line="288" w:lineRule="auto"/>
        <w:ind w:left="0"/>
        <w:jc w:val="left"/>
      </w:pPr>
      <w:r>
        <w:rPr>
          <w:rFonts w:ascii="Arial" w:hAnsi="Arial" w:eastAsia="等线" w:cs="Arial"/>
          <w:sz w:val="22"/>
        </w:rPr>
        <w:t xml:space="preserve">The system outputs discrete state commands according to the accurate </w:t>
      </w:r>
      <m:oMath>
        <m:r>
          <m:rPr/>
          <w:rPr>
            <w:rFonts w:ascii="Cambria Math" w:hAnsi="Cambria Math"/>
          </w:rPr>
          <m:t>Cost</m:t>
        </m:r>
        <m:d>
          <m:dPr>
            <m:sepChr m:val=","/>
          </m:dPr>
          <m:e>
            <m:r>
              <m:rPr/>
              <w:rPr>
                <w:rFonts w:ascii="Cambria Math" w:hAnsi="Cambria Math"/>
              </w:rPr>
              <m:t>x</m:t>
            </m:r>
          </m:e>
          <m:e>
            <m:r>
              <m:rPr/>
              <w:rPr>
                <w:rFonts w:ascii="Cambria Math" w:hAnsi="Cambria Math"/>
              </w:rPr>
              <m:t>y</m:t>
            </m:r>
          </m:e>
        </m:d>
      </m:oMath>
      <w:r>
        <w:rPr>
          <w:rFonts w:ascii="Arial" w:hAnsi="Arial" w:eastAsia="等线" w:cs="Arial"/>
          <w:sz w:val="22"/>
        </w:rPr>
        <w:t xml:space="preserve"> rating of the target area after the robot arrives. To ensure efficient parsing and precise action execution by the underlying MCU (e.g., STM32), the decision-making issuance abandons non-standard characters and adopts a multi-dimensional physical quantity instruction set encapsulated in </w:t>
      </w:r>
      <w:r>
        <w:rPr>
          <w:rFonts w:ascii="Arial" w:hAnsi="Arial" w:eastAsia="等线" w:cs="Arial"/>
          <w:b/>
          <w:sz w:val="22"/>
        </w:rPr>
        <w:t>JSON format</w:t>
      </w:r>
      <w:r>
        <w:rPr>
          <w:rFonts w:ascii="Arial" w:hAnsi="Arial" w:eastAsia="等线" w:cs="Arial"/>
          <w:sz w:val="22"/>
        </w:rPr>
        <w:t>. For example, for the heavy governance of an extremely high-risk area, the system outputs a driving message. This structured output clearly defines the data boundary between the global planning layer and the underlying control layer, greatly improving the engineering reliability of the joint regulation of software and hardware.</w:t>
      </w:r>
    </w:p>
    <w:p w14:paraId="29A1CF86">
      <w:pPr>
        <w:spacing w:before="320" w:after="120" w:line="288" w:lineRule="auto"/>
        <w:ind w:left="0"/>
        <w:jc w:val="left"/>
        <w:outlineLvl w:val="1"/>
      </w:pPr>
      <w:bookmarkStart w:id="10" w:name="heading_10"/>
      <w:r>
        <w:rPr>
          <w:rFonts w:ascii="Arial" w:hAnsi="Arial" w:eastAsia="等线" w:cs="Arial"/>
          <w:b/>
          <w:sz w:val="32"/>
        </w:rPr>
        <w:t>4. ROS2 Communication Interface Specification (API)</w:t>
      </w:r>
      <w:bookmarkEnd w:id="10"/>
    </w:p>
    <w:p w14:paraId="1F887706">
      <w:pPr>
        <w:spacing w:before="120" w:after="120" w:line="288" w:lineRule="auto"/>
        <w:ind w:left="0"/>
        <w:jc w:val="left"/>
      </w:pPr>
      <w:r>
        <w:rPr>
          <w:rFonts w:ascii="Arial" w:hAnsi="Arial" w:eastAsia="等线" w:cs="Arial"/>
          <w:sz w:val="22"/>
        </w:rPr>
        <w:t>Refer to the README document.</w:t>
      </w:r>
    </w:p>
    <w:p w14:paraId="2B39E9BB">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EF52B"/>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65F6F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cumentProtection w:enforcement="0"/>
  <w:compat>
    <w:useFELayout/>
    <w:splitPgBreakAndParaMark/>
    <w:compatSetting w:name="compatibilityMode" w:uri="http://schemas.microsoft.com/office/word" w:val="12"/>
  </w:compat>
  <w:rsids>
    <w:rsidRoot w:val="00000000"/>
    <w:rsid w:val="6B26375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1005</Words>
  <Characters>5336</Characters>
  <TotalTime>1</TotalTime>
  <ScaleCrop>false</ScaleCrop>
  <LinksUpToDate>false</LinksUpToDate>
  <CharactersWithSpaces>6132</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2026-03-18T08:43:00Z</dcterms:created>
  <dc:creator>Apache POI</dc:creator>
  <cp:lastModifiedBy>WPS_1663900371</cp:lastModifiedBy>
  <dcterms:modified xsi:type="dcterms:W3CDTF">2026-03-18T08:44:56Z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eyJoZGlkIjoiYmM3MDg4MzMwMjY2OTdkODcyNTkyZDEwMjg1ZGJhZTQiLCJ1c2VySWQiOiIxNDEzODI5MTY2In0=</vt:lpwstr>
  </property>
  <property fmtid="{D5CDD505-2E9C-101B-9397-08002B2CF9AE}" pid="3" name="KSOProductBuildVer">
    <vt:lpwstr>2052-12.1.0.25225</vt:lpwstr>
  </property>
  <property fmtid="{D5CDD505-2E9C-101B-9397-08002B2CF9AE}" pid="4" name="ICV">
    <vt:lpwstr>2AE52600C0A844CABF87B445A42D2B72_12</vt:lpwstr>
  </property>
</Properties>
</file>