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Calibri" w:cs="Calibri" w:eastAsia="Calibri" w:hAnsi="Calibri"/>
          <w:b/>
          <w:bCs/>
          <w:color w:val="1F3B5C"/>
          <w:sz w:val="52"/>
          <w:szCs w:val="52"/>
        </w:rPr>
        <w:t xml:space="preserve">AI Workforce OS</w:t>
      </w:r>
    </w:p>
    <w:p>
      <w:pPr>
        <w:spacing w:after="40"/>
      </w:pPr>
      <w:r>
        <w:rPr>
          <w:rFonts w:ascii="Calibri" w:cs="Calibri" w:eastAsia="Calibri" w:hAnsi="Calibri"/>
          <w:b/>
          <w:bCs/>
          <w:color w:val="2B4C7E"/>
          <w:sz w:val="32"/>
          <w:szCs w:val="32"/>
        </w:rPr>
        <w:t xml:space="preserve">Team Contribution Plan</w:t>
      </w:r>
    </w:p>
    <w:p>
      <w:pPr>
        <w:spacing w:after="200"/>
      </w:pPr>
      <w:r>
        <w:rPr>
          <w:rFonts w:ascii="Calibri" w:cs="Calibri" w:eastAsia="Calibri" w:hAnsi="Calibri"/>
          <w:color w:val="6B7280"/>
          <w:sz w:val="20"/>
          <w:szCs w:val="20"/>
        </w:rPr>
        <w:t xml:space="preserve">Version 1.0  ·  1 October 2026  ·  IT644, Autumn 2026</w:t>
      </w:r>
    </w:p>
    <w:p>
      <w:pPr>
        <w:pStyle w:val="Heading2"/>
        <w:spacing w:after="100" w:before="240"/>
      </w:pPr>
      <w:r>
        <w:rPr>
          <w:rFonts w:ascii="Calibri" w:cs="Calibri" w:eastAsia="Calibri" w:hAnsi="Calibri"/>
          <w:b/>
          <w:bCs/>
          <w:color w:val="2B4C7E"/>
          <w:sz w:val="26"/>
          <w:szCs w:val="26"/>
        </w:rPr>
        <w:t xml:space="preserve">Purpose</w:t>
      </w:r>
    </w:p>
    <w:p>
      <w:pPr>
        <w:spacing w:after="120" w:before="0" w:line="276"/>
      </w:pPr>
      <w:r>
        <w:rPr>
          <w:rFonts w:ascii="Calibri" w:cs="Calibri" w:eastAsia="Calibri" w:hAnsi="Calibri"/>
          <w:color w:val="1F2937"/>
          <w:sz w:val="21"/>
          <w:szCs w:val="21"/>
        </w:rPr>
        <w:t xml:space="preserve">This plan lists the real, outstanding work in each team member’s own module, taken from the requirement traceability table in the as-built System Design Document (v2.0). It gives every member concrete commits to make from their own account, so that the repository history shows each person’s actual contribution, dated when the work happened.</w:t>
      </w:r>
    </w:p>
    <w:p>
      <w:pPr>
        <w:pStyle w:val="Heading2"/>
        <w:spacing w:after="100" w:before="240"/>
      </w:pPr>
      <w:r>
        <w:rPr>
          <w:rFonts w:ascii="Calibri" w:cs="Calibri" w:eastAsia="Calibri" w:hAnsi="Calibri"/>
          <w:b/>
          <w:bCs/>
          <w:color w:val="2B4C7E"/>
          <w:sz w:val="26"/>
          <w:szCs w:val="26"/>
        </w:rPr>
        <w:t xml:space="preserve">Ground rules</w:t>
      </w:r>
    </w:p>
    <w:p>
      <w:pPr>
        <w:pStyle w:val="ListParagraph"/>
        <w:numPr>
          <w:ilvl w:val="0"/>
          <w:numId w:val="2"/>
        </w:numPr>
        <w:spacing w:after="60" w:line="264"/>
      </w:pPr>
      <w:r>
        <w:rPr>
          <w:rFonts w:ascii="Calibri" w:cs="Calibri" w:eastAsia="Calibri" w:hAnsi="Calibri"/>
          <w:b/>
          <w:bCs/>
          <w:color w:val="1F2937"/>
          <w:sz w:val="21"/>
          <w:szCs w:val="21"/>
        </w:rPr>
        <w:t xml:space="preserve">Each person commits their own work from their own GitHub account.</w:t>
      </w:r>
      <w:r>
        <w:rPr>
          <w:rFonts w:ascii="Calibri" w:cs="Calibri" w:eastAsia="Calibri" w:hAnsi="Calibri"/>
          <w:color w:val="1F2937"/>
          <w:sz w:val="21"/>
          <w:szCs w:val="21"/>
        </w:rPr>
        <w:t xml:space="preserve"> Nobody commits for someone else, and no commit carries another person’s name or email.</w:t>
      </w:r>
    </w:p>
    <w:p>
      <w:pPr>
        <w:pStyle w:val="ListParagraph"/>
        <w:numPr>
          <w:ilvl w:val="0"/>
          <w:numId w:val="2"/>
        </w:numPr>
        <w:spacing w:after="60" w:line="264"/>
      </w:pPr>
      <w:r>
        <w:rPr>
          <w:rFonts w:ascii="Calibri" w:cs="Calibri" w:eastAsia="Calibri" w:hAnsi="Calibri"/>
          <w:b/>
          <w:bCs/>
          <w:color w:val="1F2937"/>
          <w:sz w:val="21"/>
          <w:szCs w:val="21"/>
        </w:rPr>
        <w:t xml:space="preserve">Dates are real.</w:t>
      </w:r>
      <w:r>
        <w:rPr>
          <w:rFonts w:ascii="Calibri" w:cs="Calibri" w:eastAsia="Calibri" w:hAnsi="Calibri"/>
          <w:color w:val="1F2937"/>
          <w:sz w:val="21"/>
          <w:szCs w:val="21"/>
        </w:rPr>
        <w:t xml:space="preserve"> A commit is dated when it is made. The “Expected date” column is a plan. The “Commit hash” and “Actual date” columns are filled in by the author after the commit exists, never in advance.</w:t>
      </w:r>
    </w:p>
    <w:p>
      <w:pPr>
        <w:pStyle w:val="ListParagraph"/>
        <w:numPr>
          <w:ilvl w:val="0"/>
          <w:numId w:val="2"/>
        </w:numPr>
        <w:spacing w:after="60" w:line="264"/>
      </w:pPr>
      <w:r>
        <w:rPr>
          <w:rFonts w:ascii="Calibri" w:cs="Calibri" w:eastAsia="Calibri" w:hAnsi="Calibri"/>
          <w:b/>
          <w:bCs/>
          <w:color w:val="1F2937"/>
          <w:sz w:val="21"/>
          <w:szCs w:val="21"/>
        </w:rPr>
        <w:t xml:space="preserve">Small, meaningful commits.</w:t>
      </w:r>
      <w:r>
        <w:rPr>
          <w:rFonts w:ascii="Calibri" w:cs="Calibri" w:eastAsia="Calibri" w:hAnsi="Calibri"/>
          <w:color w:val="1F2937"/>
          <w:sz w:val="21"/>
          <w:szCs w:val="21"/>
        </w:rPr>
        <w:t xml:space="preserve"> Aim for at least one reviewable commit per person per week, each with a message that says what changed and why.</w:t>
      </w:r>
    </w:p>
    <w:p>
      <w:pPr>
        <w:pStyle w:val="ListParagraph"/>
        <w:numPr>
          <w:ilvl w:val="0"/>
          <w:numId w:val="2"/>
        </w:numPr>
        <w:spacing w:after="60" w:line="264"/>
      </w:pPr>
      <w:r>
        <w:rPr>
          <w:rFonts w:ascii="Calibri" w:cs="Calibri" w:eastAsia="Calibri" w:hAnsi="Calibri"/>
          <w:b/>
          <w:bCs/>
          <w:color w:val="1F2937"/>
          <w:sz w:val="21"/>
          <w:szCs w:val="21"/>
        </w:rPr>
        <w:t xml:space="preserve">Credit shared work honestly.</w:t>
      </w:r>
      <w:r>
        <w:rPr>
          <w:rFonts w:ascii="Calibri" w:cs="Calibri" w:eastAsia="Calibri" w:hAnsi="Calibri"/>
          <w:color w:val="1F2937"/>
          <w:sz w:val="21"/>
          <w:szCs w:val="21"/>
        </w:rPr>
        <w:t xml:space="preserve"> If two people work on a change, the commit carries a Co-authored-by line for the second person.</w:t>
      </w:r>
    </w:p>
    <w:p>
      <w:pPr>
        <w:pStyle w:val="ListParagraph"/>
        <w:numPr>
          <w:ilvl w:val="0"/>
          <w:numId w:val="2"/>
        </w:numPr>
        <w:spacing w:after="60" w:line="264"/>
      </w:pPr>
      <w:r>
        <w:rPr>
          <w:rFonts w:ascii="Calibri" w:cs="Calibri" w:eastAsia="Calibri" w:hAnsi="Calibri"/>
          <w:b/>
          <w:bCs/>
          <w:color w:val="1F2937"/>
          <w:sz w:val="21"/>
          <w:szCs w:val="21"/>
        </w:rPr>
        <w:t xml:space="preserve">Run the checks first.</w:t>
      </w:r>
      <w:r>
        <w:rPr>
          <w:rFonts w:ascii="Calibri" w:cs="Calibri" w:eastAsia="Calibri" w:hAnsi="Calibri"/>
          <w:color w:val="1F2937"/>
          <w:sz w:val="21"/>
          <w:szCs w:val="21"/>
        </w:rPr>
        <w:t xml:space="preserve"> Backend: format and </w:t>
      </w:r>
      <w:r>
        <w:rPr>
          <w:rFonts w:ascii="Consolas" w:cs="Consolas" w:eastAsia="Consolas" w:hAnsi="Consolas"/>
          <w:color w:val="2B4C7E"/>
          <w:sz w:val="19"/>
          <w:szCs w:val="19"/>
        </w:rPr>
        <w:t xml:space="preserve">./mvnw verify</w:t>
      </w:r>
      <w:r>
        <w:rPr>
          <w:rFonts w:ascii="Calibri" w:cs="Calibri" w:eastAsia="Calibri" w:hAnsi="Calibri"/>
          <w:color w:val="1F2937"/>
          <w:sz w:val="21"/>
          <w:szCs w:val="21"/>
        </w:rPr>
        <w:t xml:space="preserve">. Web: </w:t>
      </w:r>
      <w:r>
        <w:rPr>
          <w:rFonts w:ascii="Consolas" w:cs="Consolas" w:eastAsia="Consolas" w:hAnsi="Consolas"/>
          <w:color w:val="2B4C7E"/>
          <w:sz w:val="19"/>
          <w:szCs w:val="19"/>
        </w:rPr>
        <w:t xml:space="preserve">pnpm build</w:t>
      </w:r>
      <w:r>
        <w:rPr>
          <w:rFonts w:ascii="Calibri" w:cs="Calibri" w:eastAsia="Calibri" w:hAnsi="Calibri"/>
          <w:color w:val="1F2937"/>
          <w:sz w:val="21"/>
          <w:szCs w:val="21"/>
        </w:rPr>
        <w:t xml:space="preserve"> and </w:t>
      </w:r>
      <w:r>
        <w:rPr>
          <w:rFonts w:ascii="Consolas" w:cs="Consolas" w:eastAsia="Consolas" w:hAnsi="Consolas"/>
          <w:color w:val="2B4C7E"/>
          <w:sz w:val="19"/>
          <w:szCs w:val="19"/>
        </w:rPr>
        <w:t xml:space="preserve">pnpm test</w:t>
      </w:r>
      <w:r>
        <w:rPr>
          <w:rFonts w:ascii="Calibri" w:cs="Calibri" w:eastAsia="Calibri" w:hAnsi="Calibri"/>
          <w:color w:val="1F2937"/>
          <w:sz w:val="21"/>
          <w:szCs w:val="21"/>
        </w:rPr>
        <w:t xml:space="preserve">. CI must pass before a change counts as done.</w:t>
      </w:r>
    </w:p>
    <w:p>
      <w:pPr>
        <w:pStyle w:val="Heading1"/>
        <w:pageBreakBefore/>
        <w:spacing w:after="160" w:before="120"/>
      </w:pPr>
      <w:r>
        <w:rPr>
          <w:rFonts w:ascii="Calibri" w:cs="Calibri" w:eastAsia="Calibri" w:hAnsi="Calibri"/>
          <w:b/>
          <w:bCs/>
          <w:color w:val="1F3B5C"/>
          <w:sz w:val="32"/>
          <w:szCs w:val="32"/>
        </w:rPr>
        <w:t xml:space="preserve">Work by member</w:t>
      </w:r>
    </w:p>
    <w:p>
      <w:pPr>
        <w:spacing w:after="120" w:before="0" w:line="276"/>
      </w:pPr>
      <w:r>
        <w:rPr>
          <w:rFonts w:ascii="Calibri" w:cs="Calibri" w:eastAsia="Calibri" w:hAnsi="Calibri"/>
          <w:color w:val="1F2937"/>
          <w:sz w:val="21"/>
          <w:szCs w:val="21"/>
        </w:rPr>
        <w:t xml:space="preserve">Suggested pace: three weeks starting Monday 5 October 2026. Each row is one reviewable commit. “Expected date” is the planned day. “Commit hash” and “Actual date” stay empty until the commit exists, and are then filled in with the real values.</w:t>
      </w:r>
    </w:p>
    <w:p>
      <w:pPr>
        <w:pStyle w:val="Heading3"/>
        <w:spacing w:after="80" w:before="180"/>
      </w:pPr>
      <w:r>
        <w:rPr>
          <w:rFonts w:ascii="Calibri" w:cs="Calibri" w:eastAsia="Calibri" w:hAnsi="Calibri"/>
          <w:b/>
          <w:bCs/>
          <w:color w:val="1F2937"/>
          <w:sz w:val="22"/>
          <w:szCs w:val="22"/>
        </w:rPr>
        <w:t xml:space="preserve">Aum Parmar — Project lead and system architecture</w:t>
      </w:r>
    </w:p>
    <w:p>
      <w:pPr>
        <w:spacing w:after="120" w:before="0" w:line="276"/>
      </w:pPr>
      <w:r>
        <w:rPr>
          <w:rFonts w:ascii="Calibri" w:cs="Calibri" w:eastAsia="Calibri" w:hAnsi="Calibri"/>
          <w:color w:val="6B7280"/>
          <w:sz w:val="18"/>
          <w:szCs w:val="18"/>
        </w:rPr>
        <w:t xml:space="preserve">Area of the repository: docs/, README.md, docs/adr/</w:t>
      </w:r>
    </w:p>
    <w:tbl>
      <w:tblPr>
        <w:tblW w:type="dxa" w:w="10467"/>
        <w:tblBorders>
          <w:top w:val="single" w:color="auto" w:sz="4"/>
          <w:left w:val="single" w:color="auto" w:sz="4"/>
          <w:bottom w:val="single" w:color="auto" w:sz="4"/>
          <w:right w:val="single" w:color="auto" w:sz="4"/>
          <w:insideH w:val="single" w:color="auto" w:sz="4"/>
          <w:insideV w:val="single" w:color="auto" w:sz="4"/>
        </w:tblBorders>
      </w:tblPr>
      <w:tblGrid>
        <w:gridCol w:w="328"/>
        <w:gridCol w:w="3280"/>
        <w:gridCol w:w="1789"/>
        <w:gridCol w:w="2385"/>
        <w:gridCol w:w="894"/>
        <w:gridCol w:w="894"/>
        <w:gridCol w:w="897"/>
      </w:tblGrid>
      <w:tr>
        <w:trPr>
          <w:tblHeader/>
        </w:trPr>
        <w:tc>
          <w:tcPr>
            <w:tcW w:type="dxa" w:w="328"/>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w:t>
            </w:r>
          </w:p>
        </w:tc>
        <w:tc>
          <w:tcPr>
            <w:tcW w:type="dxa" w:w="3280"/>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Work</w:t>
            </w:r>
          </w:p>
        </w:tc>
        <w:tc>
          <w:tcPr>
            <w:tcW w:type="dxa" w:w="1789"/>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Where</w:t>
            </w:r>
          </w:p>
        </w:tc>
        <w:tc>
          <w:tcPr>
            <w:tcW w:type="dxa" w:w="2385"/>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Suggested commit message</w:t>
            </w:r>
          </w:p>
        </w:tc>
        <w:tc>
          <w:tcPr>
            <w:tcW w:type="dxa" w:w="894"/>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Expected date</w:t>
            </w:r>
          </w:p>
        </w:tc>
        <w:tc>
          <w:tcPr>
            <w:tcW w:type="dxa" w:w="894"/>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Commit hash</w:t>
            </w:r>
          </w:p>
        </w:tc>
        <w:tc>
          <w:tcPr>
            <w:tcW w:type="dxa" w:w="897"/>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Actual date</w:t>
            </w:r>
          </w:p>
        </w:tc>
      </w:tr>
      <w:tr>
        <w:tc>
          <w:tcPr>
            <w:tcW w:type="dxa" w:w="32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1</w:t>
            </w:r>
          </w:p>
        </w:tc>
        <w:tc>
          <w:tcPr>
            <w:tcW w:type="dxa" w:w="328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Record the stack change (FastAPI/Next.js to Spring Boot/React) as an architecture decision record</w:t>
            </w:r>
          </w:p>
        </w:tc>
        <w:tc>
          <w:tcPr>
            <w:tcW w:type="dxa" w:w="1789"/>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docs/adr/</w:t>
            </w:r>
          </w:p>
        </w:tc>
        <w:tc>
          <w:tcPr>
            <w:tcW w:type="dxa" w:w="238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Add ADR: record move to Spring Boot and React</w:t>
            </w:r>
          </w:p>
        </w:tc>
        <w:tc>
          <w:tcPr>
            <w:tcW w:type="dxa" w:w="89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Mon 5 Oct</w:t>
            </w:r>
          </w:p>
        </w:tc>
        <w:tc>
          <w:tcPr>
            <w:tcW w:type="dxa" w:w="89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p>
        </w:tc>
        <w:tc>
          <w:tcPr>
            <w:tcW w:type="dxa" w:w="89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p>
        </w:tc>
      </w:tr>
      <w:tr>
        <w:tc>
          <w:tcPr>
            <w:tcW w:type="dxa" w:w="328"/>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2</w:t>
            </w:r>
          </w:p>
        </w:tc>
        <w:tc>
          <w:tcPr>
            <w:tcW w:type="dxa" w:w="328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Review the requirement traceability table in the design document and confirm each status against the code</w:t>
            </w:r>
          </w:p>
        </w:tc>
        <w:tc>
          <w:tcPr>
            <w:tcW w:type="dxa" w:w="1789"/>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docs/</w:t>
            </w:r>
          </w:p>
        </w:tc>
        <w:tc>
          <w:tcPr>
            <w:tcW w:type="dxa" w:w="2385"/>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Docs: confirm requirement statuses against the build</w:t>
            </w:r>
          </w:p>
        </w:tc>
        <w:tc>
          <w:tcPr>
            <w:tcW w:type="dxa" w:w="89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Tue 13 Oct</w:t>
            </w:r>
          </w:p>
        </w:tc>
        <w:tc>
          <w:tcPr>
            <w:tcW w:type="dxa" w:w="89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p>
        </w:tc>
        <w:tc>
          <w:tcPr>
            <w:tcW w:type="dxa" w:w="89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p>
        </w:tc>
      </w:tr>
      <w:tr>
        <w:tc>
          <w:tcPr>
            <w:tcW w:type="dxa" w:w="32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3</w:t>
            </w:r>
          </w:p>
        </w:tc>
        <w:tc>
          <w:tcPr>
            <w:tcW w:type="dxa" w:w="328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Add a Team and roles section to the README, matching the module ownership table</w:t>
            </w:r>
          </w:p>
        </w:tc>
        <w:tc>
          <w:tcPr>
            <w:tcW w:type="dxa" w:w="1789"/>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README.md</w:t>
            </w:r>
          </w:p>
        </w:tc>
        <w:tc>
          <w:tcPr>
            <w:tcW w:type="dxa" w:w="238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README: add team and module ownership</w:t>
            </w:r>
          </w:p>
        </w:tc>
        <w:tc>
          <w:tcPr>
            <w:tcW w:type="dxa" w:w="89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Wed 21 Oct</w:t>
            </w:r>
          </w:p>
        </w:tc>
        <w:tc>
          <w:tcPr>
            <w:tcW w:type="dxa" w:w="89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p>
        </w:tc>
        <w:tc>
          <w:tcPr>
            <w:tcW w:type="dxa" w:w="89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p>
        </w:tc>
      </w:tr>
    </w:tbl>
    <w:p>
      <w:pPr>
        <w:pStyle w:val="Heading3"/>
        <w:spacing w:after="80" w:before="180"/>
      </w:pPr>
      <w:r>
        <w:rPr>
          <w:rFonts w:ascii="Calibri" w:cs="Calibri" w:eastAsia="Calibri" w:hAnsi="Calibri"/>
          <w:b/>
          <w:bCs/>
          <w:color w:val="1F2937"/>
          <w:sz w:val="22"/>
          <w:szCs w:val="22"/>
        </w:rPr>
        <w:t xml:space="preserve">Param Patel — Backend platform: gateway, auth, organisations</w:t>
      </w:r>
    </w:p>
    <w:p>
      <w:pPr>
        <w:spacing w:after="120" w:before="0" w:line="276"/>
      </w:pPr>
      <w:r>
        <w:rPr>
          <w:rFonts w:ascii="Calibri" w:cs="Calibri" w:eastAsia="Calibri" w:hAnsi="Calibri"/>
          <w:color w:val="6B7280"/>
          <w:sz w:val="18"/>
          <w:szCs w:val="18"/>
        </w:rPr>
        <w:t xml:space="preserve">Area of the repository: services/gateway, identity-service, org-service</w:t>
      </w:r>
    </w:p>
    <w:tbl>
      <w:tblPr>
        <w:tblW w:type="dxa" w:w="10467"/>
        <w:tblBorders>
          <w:top w:val="single" w:color="auto" w:sz="4"/>
          <w:left w:val="single" w:color="auto" w:sz="4"/>
          <w:bottom w:val="single" w:color="auto" w:sz="4"/>
          <w:right w:val="single" w:color="auto" w:sz="4"/>
          <w:insideH w:val="single" w:color="auto" w:sz="4"/>
          <w:insideV w:val="single" w:color="auto" w:sz="4"/>
        </w:tblBorders>
      </w:tblPr>
      <w:tblGrid>
        <w:gridCol w:w="328"/>
        <w:gridCol w:w="3280"/>
        <w:gridCol w:w="1789"/>
        <w:gridCol w:w="2385"/>
        <w:gridCol w:w="894"/>
        <w:gridCol w:w="894"/>
        <w:gridCol w:w="897"/>
      </w:tblGrid>
      <w:tr>
        <w:trPr>
          <w:tblHeader/>
        </w:trPr>
        <w:tc>
          <w:tcPr>
            <w:tcW w:type="dxa" w:w="328"/>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w:t>
            </w:r>
          </w:p>
        </w:tc>
        <w:tc>
          <w:tcPr>
            <w:tcW w:type="dxa" w:w="3280"/>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Work</w:t>
            </w:r>
          </w:p>
        </w:tc>
        <w:tc>
          <w:tcPr>
            <w:tcW w:type="dxa" w:w="1789"/>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Where</w:t>
            </w:r>
          </w:p>
        </w:tc>
        <w:tc>
          <w:tcPr>
            <w:tcW w:type="dxa" w:w="2385"/>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Suggested commit message</w:t>
            </w:r>
          </w:p>
        </w:tc>
        <w:tc>
          <w:tcPr>
            <w:tcW w:type="dxa" w:w="894"/>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Expected date</w:t>
            </w:r>
          </w:p>
        </w:tc>
        <w:tc>
          <w:tcPr>
            <w:tcW w:type="dxa" w:w="894"/>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Commit hash</w:t>
            </w:r>
          </w:p>
        </w:tc>
        <w:tc>
          <w:tcPr>
            <w:tcW w:type="dxa" w:w="897"/>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Actual date</w:t>
            </w:r>
          </w:p>
        </w:tc>
      </w:tr>
      <w:tr>
        <w:tc>
          <w:tcPr>
            <w:tcW w:type="dxa" w:w="32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1</w:t>
            </w:r>
          </w:p>
        </w:tc>
        <w:tc>
          <w:tcPr>
            <w:tcW w:type="dxa" w:w="328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Add workspace settings update (PATCH) with its permission check (FR-ORG-04)</w:t>
            </w:r>
          </w:p>
        </w:tc>
        <w:tc>
          <w:tcPr>
            <w:tcW w:type="dxa" w:w="1789"/>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org-service WorkspaceController</w:t>
            </w:r>
          </w:p>
        </w:tc>
        <w:tc>
          <w:tcPr>
            <w:tcW w:type="dxa" w:w="238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Org: add workspace settings update endpoint</w:t>
            </w:r>
          </w:p>
        </w:tc>
        <w:tc>
          <w:tcPr>
            <w:tcW w:type="dxa" w:w="89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Tue 6 Oct</w:t>
            </w:r>
          </w:p>
        </w:tc>
        <w:tc>
          <w:tcPr>
            <w:tcW w:type="dxa" w:w="89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p>
        </w:tc>
        <w:tc>
          <w:tcPr>
            <w:tcW w:type="dxa" w:w="89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p>
        </w:tc>
      </w:tr>
      <w:tr>
        <w:tc>
          <w:tcPr>
            <w:tcW w:type="dxa" w:w="328"/>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2</w:t>
            </w:r>
          </w:p>
        </w:tc>
        <w:tc>
          <w:tcPr>
            <w:tcW w:type="dxa" w:w="328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Restrict GET workspace to members of that workspace</w:t>
            </w:r>
          </w:p>
        </w:tc>
        <w:tc>
          <w:tcPr>
            <w:tcW w:type="dxa" w:w="1789"/>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org-service WorkspaceController</w:t>
            </w:r>
          </w:p>
        </w:tc>
        <w:tc>
          <w:tcPr>
            <w:tcW w:type="dxa" w:w="2385"/>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Org: limit workspace read to its members</w:t>
            </w:r>
          </w:p>
        </w:tc>
        <w:tc>
          <w:tcPr>
            <w:tcW w:type="dxa" w:w="89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Wed 14 Oct</w:t>
            </w:r>
          </w:p>
        </w:tc>
        <w:tc>
          <w:tcPr>
            <w:tcW w:type="dxa" w:w="89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p>
        </w:tc>
        <w:tc>
          <w:tcPr>
            <w:tcW w:type="dxa" w:w="89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p>
        </w:tc>
      </w:tr>
      <w:tr>
        <w:tc>
          <w:tcPr>
            <w:tcW w:type="dxa" w:w="32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3</w:t>
            </w:r>
          </w:p>
        </w:tc>
        <w:tc>
          <w:tcPr>
            <w:tcW w:type="dxa" w:w="328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Add a session list and remote sign-out (FR-AUTH-05)</w:t>
            </w:r>
          </w:p>
        </w:tc>
        <w:tc>
          <w:tcPr>
            <w:tcW w:type="dxa" w:w="1789"/>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identity-service AuthController</w:t>
            </w:r>
          </w:p>
        </w:tc>
        <w:tc>
          <w:tcPr>
            <w:tcW w:type="dxa" w:w="238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Identity: list sessions and allow remote sign-out</w:t>
            </w:r>
          </w:p>
        </w:tc>
        <w:tc>
          <w:tcPr>
            <w:tcW w:type="dxa" w:w="89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Thu 22 Oct</w:t>
            </w:r>
          </w:p>
        </w:tc>
        <w:tc>
          <w:tcPr>
            <w:tcW w:type="dxa" w:w="89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p>
        </w:tc>
        <w:tc>
          <w:tcPr>
            <w:tcW w:type="dxa" w:w="89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p>
        </w:tc>
      </w:tr>
      <w:tr>
        <w:tc>
          <w:tcPr>
            <w:tcW w:type="dxa" w:w="328"/>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4</w:t>
            </w:r>
          </w:p>
        </w:tc>
        <w:tc>
          <w:tcPr>
            <w:tcW w:type="dxa" w:w="328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Fix the combined API documentation routes at the gateway</w:t>
            </w:r>
          </w:p>
        </w:tc>
        <w:tc>
          <w:tcPr>
            <w:tcW w:type="dxa" w:w="1789"/>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gateway application.yml</w:t>
            </w:r>
          </w:p>
        </w:tc>
        <w:tc>
          <w:tcPr>
            <w:tcW w:type="dxa" w:w="2385"/>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Gateway: route per-service API docs correctly</w:t>
            </w:r>
          </w:p>
        </w:tc>
        <w:tc>
          <w:tcPr>
            <w:tcW w:type="dxa" w:w="89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Fri 23 Oct</w:t>
            </w:r>
          </w:p>
        </w:tc>
        <w:tc>
          <w:tcPr>
            <w:tcW w:type="dxa" w:w="89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p>
        </w:tc>
        <w:tc>
          <w:tcPr>
            <w:tcW w:type="dxa" w:w="89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p>
        </w:tc>
      </w:tr>
    </w:tbl>
    <w:p>
      <w:pPr>
        <w:pStyle w:val="Heading3"/>
        <w:spacing w:after="80" w:before="180"/>
      </w:pPr>
      <w:r>
        <w:rPr>
          <w:rFonts w:ascii="Calibri" w:cs="Calibri" w:eastAsia="Calibri" w:hAnsi="Calibri"/>
          <w:b/>
          <w:bCs/>
          <w:color w:val="1F2937"/>
          <w:sz w:val="22"/>
          <w:szCs w:val="22"/>
        </w:rPr>
        <w:t xml:space="preserve">Love Shah — Agent orchestration and shared memory</w:t>
      </w:r>
    </w:p>
    <w:p>
      <w:pPr>
        <w:spacing w:after="120" w:before="0" w:line="276"/>
      </w:pPr>
      <w:r>
        <w:rPr>
          <w:rFonts w:ascii="Calibri" w:cs="Calibri" w:eastAsia="Calibri" w:hAnsi="Calibri"/>
          <w:color w:val="6B7280"/>
          <w:sz w:val="18"/>
          <w:szCs w:val="18"/>
        </w:rPr>
        <w:t xml:space="preserve">Area of the repository: services/orchestrator-service, memory-service</w:t>
      </w:r>
    </w:p>
    <w:tbl>
      <w:tblPr>
        <w:tblW w:type="dxa" w:w="10467"/>
        <w:tblBorders>
          <w:top w:val="single" w:color="auto" w:sz="4"/>
          <w:left w:val="single" w:color="auto" w:sz="4"/>
          <w:bottom w:val="single" w:color="auto" w:sz="4"/>
          <w:right w:val="single" w:color="auto" w:sz="4"/>
          <w:insideH w:val="single" w:color="auto" w:sz="4"/>
          <w:insideV w:val="single" w:color="auto" w:sz="4"/>
        </w:tblBorders>
      </w:tblPr>
      <w:tblGrid>
        <w:gridCol w:w="328"/>
        <w:gridCol w:w="3280"/>
        <w:gridCol w:w="1789"/>
        <w:gridCol w:w="2385"/>
        <w:gridCol w:w="894"/>
        <w:gridCol w:w="894"/>
        <w:gridCol w:w="897"/>
      </w:tblGrid>
      <w:tr>
        <w:trPr>
          <w:tblHeader/>
        </w:trPr>
        <w:tc>
          <w:tcPr>
            <w:tcW w:type="dxa" w:w="328"/>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w:t>
            </w:r>
          </w:p>
        </w:tc>
        <w:tc>
          <w:tcPr>
            <w:tcW w:type="dxa" w:w="3280"/>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Work</w:t>
            </w:r>
          </w:p>
        </w:tc>
        <w:tc>
          <w:tcPr>
            <w:tcW w:type="dxa" w:w="1789"/>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Where</w:t>
            </w:r>
          </w:p>
        </w:tc>
        <w:tc>
          <w:tcPr>
            <w:tcW w:type="dxa" w:w="2385"/>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Suggested commit message</w:t>
            </w:r>
          </w:p>
        </w:tc>
        <w:tc>
          <w:tcPr>
            <w:tcW w:type="dxa" w:w="894"/>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Expected date</w:t>
            </w:r>
          </w:p>
        </w:tc>
        <w:tc>
          <w:tcPr>
            <w:tcW w:type="dxa" w:w="894"/>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Commit hash</w:t>
            </w:r>
          </w:p>
        </w:tc>
        <w:tc>
          <w:tcPr>
            <w:tcW w:type="dxa" w:w="897"/>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Actual date</w:t>
            </w:r>
          </w:p>
        </w:tc>
      </w:tr>
      <w:tr>
        <w:tc>
          <w:tcPr>
            <w:tcW w:type="dxa" w:w="32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1</w:t>
            </w:r>
          </w:p>
        </w:tc>
        <w:tc>
          <w:tcPr>
            <w:tcW w:type="dxa" w:w="328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Add a memory-service API for episodes and semantic pointers (the service has no controller yet)</w:t>
            </w:r>
          </w:p>
        </w:tc>
        <w:tc>
          <w:tcPr>
            <w:tcW w:type="dxa" w:w="1789"/>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memory-service web/</w:t>
            </w:r>
          </w:p>
        </w:tc>
        <w:tc>
          <w:tcPr>
            <w:tcW w:type="dxa" w:w="238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Memory: add episode and pointer endpoints</w:t>
            </w:r>
          </w:p>
        </w:tc>
        <w:tc>
          <w:tcPr>
            <w:tcW w:type="dxa" w:w="89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Wed 7 Oct</w:t>
            </w:r>
          </w:p>
        </w:tc>
        <w:tc>
          <w:tcPr>
            <w:tcW w:type="dxa" w:w="89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p>
        </w:tc>
        <w:tc>
          <w:tcPr>
            <w:tcW w:type="dxa" w:w="89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p>
        </w:tc>
      </w:tr>
      <w:tr>
        <w:tc>
          <w:tcPr>
            <w:tcW w:type="dxa" w:w="328"/>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2</w:t>
            </w:r>
          </w:p>
        </w:tc>
        <w:tc>
          <w:tcPr>
            <w:tcW w:type="dxa" w:w="328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Call the memory service from the orchestrator to write an episode when a run finishes (FR-ORC-03)</w:t>
            </w:r>
          </w:p>
        </w:tc>
        <w:tc>
          <w:tcPr>
            <w:tcW w:type="dxa" w:w="1789"/>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orchestrator-service</w:t>
            </w:r>
          </w:p>
        </w:tc>
        <w:tc>
          <w:tcPr>
            <w:tcW w:type="dxa" w:w="2385"/>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Orchestrator: write episodic memory on run completion</w:t>
            </w:r>
          </w:p>
        </w:tc>
        <w:tc>
          <w:tcPr>
            <w:tcW w:type="dxa" w:w="89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Thu 15 Oct</w:t>
            </w:r>
          </w:p>
        </w:tc>
        <w:tc>
          <w:tcPr>
            <w:tcW w:type="dxa" w:w="89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p>
        </w:tc>
        <w:tc>
          <w:tcPr>
            <w:tcW w:type="dxa" w:w="89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p>
        </w:tc>
      </w:tr>
      <w:tr>
        <w:tc>
          <w:tcPr>
            <w:tcW w:type="dxa" w:w="32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3</w:t>
            </w:r>
          </w:p>
        </w:tc>
        <w:tc>
          <w:tcPr>
            <w:tcW w:type="dxa" w:w="328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Add tests for memory writes and the failure path</w:t>
            </w:r>
          </w:p>
        </w:tc>
        <w:tc>
          <w:tcPr>
            <w:tcW w:type="dxa" w:w="1789"/>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memory-service src/test</w:t>
            </w:r>
          </w:p>
        </w:tc>
        <w:tc>
          <w:tcPr>
            <w:tcW w:type="dxa" w:w="238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Memory: test episode writes and failures</w:t>
            </w:r>
          </w:p>
        </w:tc>
        <w:tc>
          <w:tcPr>
            <w:tcW w:type="dxa" w:w="89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Fri 23 Oct</w:t>
            </w:r>
          </w:p>
        </w:tc>
        <w:tc>
          <w:tcPr>
            <w:tcW w:type="dxa" w:w="89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p>
        </w:tc>
        <w:tc>
          <w:tcPr>
            <w:tcW w:type="dxa" w:w="89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p>
        </w:tc>
      </w:tr>
    </w:tbl>
    <w:p>
      <w:pPr>
        <w:pStyle w:val="Heading3"/>
        <w:spacing w:after="80" w:before="180"/>
      </w:pPr>
      <w:r>
        <w:rPr>
          <w:rFonts w:ascii="Calibri" w:cs="Calibri" w:eastAsia="Calibri" w:hAnsi="Calibri"/>
          <w:b/>
          <w:bCs/>
          <w:color w:val="1F2937"/>
          <w:sz w:val="22"/>
          <w:szCs w:val="22"/>
        </w:rPr>
        <w:t xml:space="preserve">Panthil Shah — AI employee agents and agent runtime</w:t>
      </w:r>
    </w:p>
    <w:p>
      <w:pPr>
        <w:spacing w:after="120" w:before="0" w:line="276"/>
      </w:pPr>
      <w:r>
        <w:rPr>
          <w:rFonts w:ascii="Calibri" w:cs="Calibri" w:eastAsia="Calibri" w:hAnsi="Calibri"/>
          <w:color w:val="6B7280"/>
          <w:sz w:val="18"/>
          <w:szCs w:val="18"/>
        </w:rPr>
        <w:t xml:space="preserve">Area of the repository: services/orchestrator-service (agents, runtime)</w:t>
      </w:r>
    </w:p>
    <w:tbl>
      <w:tblPr>
        <w:tblW w:type="dxa" w:w="10467"/>
        <w:tblBorders>
          <w:top w:val="single" w:color="auto" w:sz="4"/>
          <w:left w:val="single" w:color="auto" w:sz="4"/>
          <w:bottom w:val="single" w:color="auto" w:sz="4"/>
          <w:right w:val="single" w:color="auto" w:sz="4"/>
          <w:insideH w:val="single" w:color="auto" w:sz="4"/>
          <w:insideV w:val="single" w:color="auto" w:sz="4"/>
        </w:tblBorders>
      </w:tblPr>
      <w:tblGrid>
        <w:gridCol w:w="328"/>
        <w:gridCol w:w="3280"/>
        <w:gridCol w:w="1789"/>
        <w:gridCol w:w="2385"/>
        <w:gridCol w:w="894"/>
        <w:gridCol w:w="894"/>
        <w:gridCol w:w="897"/>
      </w:tblGrid>
      <w:tr>
        <w:trPr>
          <w:tblHeader/>
        </w:trPr>
        <w:tc>
          <w:tcPr>
            <w:tcW w:type="dxa" w:w="328"/>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w:t>
            </w:r>
          </w:p>
        </w:tc>
        <w:tc>
          <w:tcPr>
            <w:tcW w:type="dxa" w:w="3280"/>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Work</w:t>
            </w:r>
          </w:p>
        </w:tc>
        <w:tc>
          <w:tcPr>
            <w:tcW w:type="dxa" w:w="1789"/>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Where</w:t>
            </w:r>
          </w:p>
        </w:tc>
        <w:tc>
          <w:tcPr>
            <w:tcW w:type="dxa" w:w="2385"/>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Suggested commit message</w:t>
            </w:r>
          </w:p>
        </w:tc>
        <w:tc>
          <w:tcPr>
            <w:tcW w:type="dxa" w:w="894"/>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Expected date</w:t>
            </w:r>
          </w:p>
        </w:tc>
        <w:tc>
          <w:tcPr>
            <w:tcW w:type="dxa" w:w="894"/>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Commit hash</w:t>
            </w:r>
          </w:p>
        </w:tc>
        <w:tc>
          <w:tcPr>
            <w:tcW w:type="dxa" w:w="897"/>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Actual date</w:t>
            </w:r>
          </w:p>
        </w:tc>
      </w:tr>
      <w:tr>
        <w:tc>
          <w:tcPr>
            <w:tcW w:type="dxa" w:w="32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1</w:t>
            </w:r>
          </w:p>
        </w:tc>
        <w:tc>
          <w:tcPr>
            <w:tcW w:type="dxa" w:w="328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Record the real action class (read, write, outbound, destructive) when raising an approval; it is currently fixed to outbound</w:t>
            </w:r>
          </w:p>
        </w:tc>
        <w:tc>
          <w:tcPr>
            <w:tcW w:type="dxa" w:w="1789"/>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orchestrator-service ApprovalService</w:t>
            </w:r>
          </w:p>
        </w:tc>
        <w:tc>
          <w:tcPr>
            <w:tcW w:type="dxa" w:w="238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Approvals: record the real action class</w:t>
            </w:r>
          </w:p>
        </w:tc>
        <w:tc>
          <w:tcPr>
            <w:tcW w:type="dxa" w:w="89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Thu 8 Oct</w:t>
            </w:r>
          </w:p>
        </w:tc>
        <w:tc>
          <w:tcPr>
            <w:tcW w:type="dxa" w:w="89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p>
        </w:tc>
        <w:tc>
          <w:tcPr>
            <w:tcW w:type="dxa" w:w="89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p>
        </w:tc>
      </w:tr>
      <w:tr>
        <w:tc>
          <w:tcPr>
            <w:tcW w:type="dxa" w:w="328"/>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2</w:t>
            </w:r>
          </w:p>
        </w:tc>
        <w:tc>
          <w:tcPr>
            <w:tcW w:type="dxa" w:w="328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Let a workspace set a per-class approval policy (FR-AGT-02)</w:t>
            </w:r>
          </w:p>
        </w:tc>
        <w:tc>
          <w:tcPr>
            <w:tcW w:type="dxa" w:w="1789"/>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orchestrator-service AgentRunner, agents API</w:t>
            </w:r>
          </w:p>
        </w:tc>
        <w:tc>
          <w:tcPr>
            <w:tcW w:type="dxa" w:w="2385"/>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Agents: honour per-class approval policy</w:t>
            </w:r>
          </w:p>
        </w:tc>
        <w:tc>
          <w:tcPr>
            <w:tcW w:type="dxa" w:w="89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Fri 16 Oct</w:t>
            </w:r>
          </w:p>
        </w:tc>
        <w:tc>
          <w:tcPr>
            <w:tcW w:type="dxa" w:w="89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p>
        </w:tc>
        <w:tc>
          <w:tcPr>
            <w:tcW w:type="dxa" w:w="89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p>
        </w:tc>
      </w:tr>
      <w:tr>
        <w:tc>
          <w:tcPr>
            <w:tcW w:type="dxa" w:w="32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3</w:t>
            </w:r>
          </w:p>
        </w:tc>
        <w:tc>
          <w:tcPr>
            <w:tcW w:type="dxa" w:w="328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Add endpoints to edit an agent’s tool grants, so grants no longer come only from the seeder</w:t>
            </w:r>
          </w:p>
        </w:tc>
        <w:tc>
          <w:tcPr>
            <w:tcW w:type="dxa" w:w="1789"/>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orchestrator-service AgentController</w:t>
            </w:r>
          </w:p>
        </w:tc>
        <w:tc>
          <w:tcPr>
            <w:tcW w:type="dxa" w:w="238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Agents: add tool grant editing endpoints</w:t>
            </w:r>
          </w:p>
        </w:tc>
        <w:tc>
          <w:tcPr>
            <w:tcW w:type="dxa" w:w="89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Mon 19 Oct</w:t>
            </w:r>
          </w:p>
        </w:tc>
        <w:tc>
          <w:tcPr>
            <w:tcW w:type="dxa" w:w="89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p>
        </w:tc>
        <w:tc>
          <w:tcPr>
            <w:tcW w:type="dxa" w:w="89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p>
        </w:tc>
      </w:tr>
    </w:tbl>
    <w:p>
      <w:pPr>
        <w:pStyle w:val="Heading3"/>
        <w:spacing w:after="80" w:before="180"/>
      </w:pPr>
      <w:r>
        <w:rPr>
          <w:rFonts w:ascii="Calibri" w:cs="Calibri" w:eastAsia="Calibri" w:hAnsi="Calibri"/>
          <w:b/>
          <w:bCs/>
          <w:color w:val="1F2937"/>
          <w:sz w:val="22"/>
          <w:szCs w:val="22"/>
        </w:rPr>
        <w:t xml:space="preserve">Fahim Saiyad — Knowledge base and RAG pipeline</w:t>
      </w:r>
    </w:p>
    <w:p>
      <w:pPr>
        <w:spacing w:after="120" w:before="0" w:line="276"/>
      </w:pPr>
      <w:r>
        <w:rPr>
          <w:rFonts w:ascii="Calibri" w:cs="Calibri" w:eastAsia="Calibri" w:hAnsi="Calibri"/>
          <w:color w:val="6B7280"/>
          <w:sz w:val="18"/>
          <w:szCs w:val="18"/>
        </w:rPr>
        <w:t xml:space="preserve">Area of the repository: services/knowledge-service</w:t>
      </w:r>
    </w:p>
    <w:tbl>
      <w:tblPr>
        <w:tblW w:type="dxa" w:w="10467"/>
        <w:tblBorders>
          <w:top w:val="single" w:color="auto" w:sz="4"/>
          <w:left w:val="single" w:color="auto" w:sz="4"/>
          <w:bottom w:val="single" w:color="auto" w:sz="4"/>
          <w:right w:val="single" w:color="auto" w:sz="4"/>
          <w:insideH w:val="single" w:color="auto" w:sz="4"/>
          <w:insideV w:val="single" w:color="auto" w:sz="4"/>
        </w:tblBorders>
      </w:tblPr>
      <w:tblGrid>
        <w:gridCol w:w="328"/>
        <w:gridCol w:w="3280"/>
        <w:gridCol w:w="1789"/>
        <w:gridCol w:w="2385"/>
        <w:gridCol w:w="894"/>
        <w:gridCol w:w="894"/>
        <w:gridCol w:w="897"/>
      </w:tblGrid>
      <w:tr>
        <w:trPr>
          <w:tblHeader/>
        </w:trPr>
        <w:tc>
          <w:tcPr>
            <w:tcW w:type="dxa" w:w="328"/>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w:t>
            </w:r>
          </w:p>
        </w:tc>
        <w:tc>
          <w:tcPr>
            <w:tcW w:type="dxa" w:w="3280"/>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Work</w:t>
            </w:r>
          </w:p>
        </w:tc>
        <w:tc>
          <w:tcPr>
            <w:tcW w:type="dxa" w:w="1789"/>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Where</w:t>
            </w:r>
          </w:p>
        </w:tc>
        <w:tc>
          <w:tcPr>
            <w:tcW w:type="dxa" w:w="2385"/>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Suggested commit message</w:t>
            </w:r>
          </w:p>
        </w:tc>
        <w:tc>
          <w:tcPr>
            <w:tcW w:type="dxa" w:w="894"/>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Expected date</w:t>
            </w:r>
          </w:p>
        </w:tc>
        <w:tc>
          <w:tcPr>
            <w:tcW w:type="dxa" w:w="894"/>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Commit hash</w:t>
            </w:r>
          </w:p>
        </w:tc>
        <w:tc>
          <w:tcPr>
            <w:tcW w:type="dxa" w:w="897"/>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Actual date</w:t>
            </w:r>
          </w:p>
        </w:tc>
      </w:tr>
      <w:tr>
        <w:tc>
          <w:tcPr>
            <w:tcW w:type="dxa" w:w="32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1</w:t>
            </w:r>
          </w:p>
        </w:tc>
        <w:tc>
          <w:tcPr>
            <w:tcW w:type="dxa" w:w="328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Use the workspace’s configured embedding provider for query embeddings; it is fixed to the sandbox</w:t>
            </w:r>
          </w:p>
        </w:tc>
        <w:tc>
          <w:tcPr>
            <w:tcW w:type="dxa" w:w="1789"/>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knowledge-service EmbeddingService</w:t>
            </w:r>
          </w:p>
        </w:tc>
        <w:tc>
          <w:tcPr>
            <w:tcW w:type="dxa" w:w="238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Knowledge: embed queries with the configured provider</w:t>
            </w:r>
          </w:p>
        </w:tc>
        <w:tc>
          <w:tcPr>
            <w:tcW w:type="dxa" w:w="89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Fri 9 Oct</w:t>
            </w:r>
          </w:p>
        </w:tc>
        <w:tc>
          <w:tcPr>
            <w:tcW w:type="dxa" w:w="89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p>
        </w:tc>
        <w:tc>
          <w:tcPr>
            <w:tcW w:type="dxa" w:w="89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p>
        </w:tc>
      </w:tr>
      <w:tr>
        <w:tc>
          <w:tcPr>
            <w:tcW w:type="dxa" w:w="328"/>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2</w:t>
            </w:r>
          </w:p>
        </w:tc>
        <w:tc>
          <w:tcPr>
            <w:tcW w:type="dxa" w:w="328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Write an ingestion run record for each ingestion (the table exists but is unused)</w:t>
            </w:r>
          </w:p>
        </w:tc>
        <w:tc>
          <w:tcPr>
            <w:tcW w:type="dxa" w:w="1789"/>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knowledge-service IngestionService</w:t>
            </w:r>
          </w:p>
        </w:tc>
        <w:tc>
          <w:tcPr>
            <w:tcW w:type="dxa" w:w="2385"/>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Knowledge: record ingestion runs</w:t>
            </w:r>
          </w:p>
        </w:tc>
        <w:tc>
          <w:tcPr>
            <w:tcW w:type="dxa" w:w="89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Mon 12 Oct</w:t>
            </w:r>
          </w:p>
        </w:tc>
        <w:tc>
          <w:tcPr>
            <w:tcW w:type="dxa" w:w="89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p>
        </w:tc>
        <w:tc>
          <w:tcPr>
            <w:tcW w:type="dxa" w:w="89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p>
        </w:tc>
      </w:tr>
      <w:tr>
        <w:tc>
          <w:tcPr>
            <w:tcW w:type="dxa" w:w="32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3</w:t>
            </w:r>
          </w:p>
        </w:tc>
        <w:tc>
          <w:tcPr>
            <w:tcW w:type="dxa" w:w="328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Add retrieval tests for query phrasing and the relevance floor</w:t>
            </w:r>
          </w:p>
        </w:tc>
        <w:tc>
          <w:tcPr>
            <w:tcW w:type="dxa" w:w="1789"/>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knowledge-service src/test</w:t>
            </w:r>
          </w:p>
        </w:tc>
        <w:tc>
          <w:tcPr>
            <w:tcW w:type="dxa" w:w="238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Knowledge: test retrieval query handling</w:t>
            </w:r>
          </w:p>
        </w:tc>
        <w:tc>
          <w:tcPr>
            <w:tcW w:type="dxa" w:w="89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Tue 20 Oct</w:t>
            </w:r>
          </w:p>
        </w:tc>
        <w:tc>
          <w:tcPr>
            <w:tcW w:type="dxa" w:w="89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p>
        </w:tc>
        <w:tc>
          <w:tcPr>
            <w:tcW w:type="dxa" w:w="89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p>
        </w:tc>
      </w:tr>
    </w:tbl>
    <w:p>
      <w:pPr>
        <w:pStyle w:val="Heading3"/>
        <w:spacing w:after="80" w:before="180"/>
      </w:pPr>
      <w:r>
        <w:rPr>
          <w:rFonts w:ascii="Calibri" w:cs="Calibri" w:eastAsia="Calibri" w:hAnsi="Calibri"/>
          <w:b/>
          <w:bCs/>
          <w:color w:val="1F2937"/>
          <w:sz w:val="22"/>
          <w:szCs w:val="22"/>
        </w:rPr>
        <w:t xml:space="preserve">Ismail Mansuri — MCP integration layer</w:t>
      </w:r>
    </w:p>
    <w:p>
      <w:pPr>
        <w:spacing w:after="120" w:before="0" w:line="276"/>
      </w:pPr>
      <w:r>
        <w:rPr>
          <w:rFonts w:ascii="Calibri" w:cs="Calibri" w:eastAsia="Calibri" w:hAnsi="Calibri"/>
          <w:color w:val="6B7280"/>
          <w:sz w:val="18"/>
          <w:szCs w:val="18"/>
        </w:rPr>
        <w:t xml:space="preserve">Area of the repository: mcp-core, services/integrations-service</w:t>
      </w:r>
    </w:p>
    <w:tbl>
      <w:tblPr>
        <w:tblW w:type="dxa" w:w="10467"/>
        <w:tblBorders>
          <w:top w:val="single" w:color="auto" w:sz="4"/>
          <w:left w:val="single" w:color="auto" w:sz="4"/>
          <w:bottom w:val="single" w:color="auto" w:sz="4"/>
          <w:right w:val="single" w:color="auto" w:sz="4"/>
          <w:insideH w:val="single" w:color="auto" w:sz="4"/>
          <w:insideV w:val="single" w:color="auto" w:sz="4"/>
        </w:tblBorders>
      </w:tblPr>
      <w:tblGrid>
        <w:gridCol w:w="328"/>
        <w:gridCol w:w="3280"/>
        <w:gridCol w:w="1789"/>
        <w:gridCol w:w="2385"/>
        <w:gridCol w:w="894"/>
        <w:gridCol w:w="894"/>
        <w:gridCol w:w="897"/>
      </w:tblGrid>
      <w:tr>
        <w:trPr>
          <w:tblHeader/>
        </w:trPr>
        <w:tc>
          <w:tcPr>
            <w:tcW w:type="dxa" w:w="328"/>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w:t>
            </w:r>
          </w:p>
        </w:tc>
        <w:tc>
          <w:tcPr>
            <w:tcW w:type="dxa" w:w="3280"/>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Work</w:t>
            </w:r>
          </w:p>
        </w:tc>
        <w:tc>
          <w:tcPr>
            <w:tcW w:type="dxa" w:w="1789"/>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Where</w:t>
            </w:r>
          </w:p>
        </w:tc>
        <w:tc>
          <w:tcPr>
            <w:tcW w:type="dxa" w:w="2385"/>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Suggested commit message</w:t>
            </w:r>
          </w:p>
        </w:tc>
        <w:tc>
          <w:tcPr>
            <w:tcW w:type="dxa" w:w="894"/>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Expected date</w:t>
            </w:r>
          </w:p>
        </w:tc>
        <w:tc>
          <w:tcPr>
            <w:tcW w:type="dxa" w:w="894"/>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Commit hash</w:t>
            </w:r>
          </w:p>
        </w:tc>
        <w:tc>
          <w:tcPr>
            <w:tcW w:type="dxa" w:w="897"/>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Actual date</w:t>
            </w:r>
          </w:p>
        </w:tc>
      </w:tr>
      <w:tr>
        <w:tc>
          <w:tcPr>
            <w:tcW w:type="dxa" w:w="32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1</w:t>
            </w:r>
          </w:p>
        </w:tc>
        <w:tc>
          <w:tcPr>
            <w:tcW w:type="dxa" w:w="328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Add disconnect for a tool connection, revoking its credential reference (FR-MCP-04)</w:t>
            </w:r>
          </w:p>
        </w:tc>
        <w:tc>
          <w:tcPr>
            <w:tcW w:type="dxa" w:w="1789"/>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integrations-service</w:t>
            </w:r>
          </w:p>
        </w:tc>
        <w:tc>
          <w:tcPr>
            <w:tcW w:type="dxa" w:w="238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Integrations: add disconnect for a connection</w:t>
            </w:r>
          </w:p>
        </w:tc>
        <w:tc>
          <w:tcPr>
            <w:tcW w:type="dxa" w:w="89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Mon 5 Oct</w:t>
            </w:r>
          </w:p>
        </w:tc>
        <w:tc>
          <w:tcPr>
            <w:tcW w:type="dxa" w:w="89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p>
        </w:tc>
        <w:tc>
          <w:tcPr>
            <w:tcW w:type="dxa" w:w="89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p>
        </w:tc>
      </w:tr>
      <w:tr>
        <w:tc>
          <w:tcPr>
            <w:tcW w:type="dxa" w:w="328"/>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2</w:t>
            </w:r>
          </w:p>
        </w:tc>
        <w:tc>
          <w:tcPr>
            <w:tcW w:type="dxa" w:w="328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Expose tool health and rate-limit status (FR-MCP-05)</w:t>
            </w:r>
          </w:p>
        </w:tc>
        <w:tc>
          <w:tcPr>
            <w:tcW w:type="dxa" w:w="1789"/>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integrations-service</w:t>
            </w:r>
          </w:p>
        </w:tc>
        <w:tc>
          <w:tcPr>
            <w:tcW w:type="dxa" w:w="2385"/>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Integrations: expose connection health status</w:t>
            </w:r>
          </w:p>
        </w:tc>
        <w:tc>
          <w:tcPr>
            <w:tcW w:type="dxa" w:w="89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Tue 13 Oct</w:t>
            </w:r>
          </w:p>
        </w:tc>
        <w:tc>
          <w:tcPr>
            <w:tcW w:type="dxa" w:w="89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p>
        </w:tc>
        <w:tc>
          <w:tcPr>
            <w:tcW w:type="dxa" w:w="89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p>
        </w:tc>
      </w:tr>
      <w:tr>
        <w:tc>
          <w:tcPr>
            <w:tcW w:type="dxa" w:w="32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3</w:t>
            </w:r>
          </w:p>
        </w:tc>
        <w:tc>
          <w:tcPr>
            <w:tcW w:type="dxa" w:w="328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Write a tool_invocations row for each tool call (FR-MCP-03)</w:t>
            </w:r>
          </w:p>
        </w:tc>
        <w:tc>
          <w:tcPr>
            <w:tcW w:type="dxa" w:w="1789"/>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mcp-core ToolGateway</w:t>
            </w:r>
          </w:p>
        </w:tc>
        <w:tc>
          <w:tcPr>
            <w:tcW w:type="dxa" w:w="238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Tools: record every invocation</w:t>
            </w:r>
          </w:p>
        </w:tc>
        <w:tc>
          <w:tcPr>
            <w:tcW w:type="dxa" w:w="89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Wed 21 Oct</w:t>
            </w:r>
          </w:p>
        </w:tc>
        <w:tc>
          <w:tcPr>
            <w:tcW w:type="dxa" w:w="89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p>
        </w:tc>
        <w:tc>
          <w:tcPr>
            <w:tcW w:type="dxa" w:w="89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p>
        </w:tc>
      </w:tr>
      <w:tr>
        <w:tc>
          <w:tcPr>
            <w:tcW w:type="dxa" w:w="328"/>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4</w:t>
            </w:r>
          </w:p>
        </w:tc>
        <w:tc>
          <w:tcPr>
            <w:tcW w:type="dxa" w:w="328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Enforce the per-minute rate limit the gateway documents but does not apply</w:t>
            </w:r>
          </w:p>
        </w:tc>
        <w:tc>
          <w:tcPr>
            <w:tcW w:type="dxa" w:w="1789"/>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mcp-core ToolGateway</w:t>
            </w:r>
          </w:p>
        </w:tc>
        <w:tc>
          <w:tcPr>
            <w:tcW w:type="dxa" w:w="2385"/>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Tools: enforce the per-minute rate limit</w:t>
            </w:r>
          </w:p>
        </w:tc>
        <w:tc>
          <w:tcPr>
            <w:tcW w:type="dxa" w:w="89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Thu 22 Oct</w:t>
            </w:r>
          </w:p>
        </w:tc>
        <w:tc>
          <w:tcPr>
            <w:tcW w:type="dxa" w:w="89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p>
        </w:tc>
        <w:tc>
          <w:tcPr>
            <w:tcW w:type="dxa" w:w="89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p>
        </w:tc>
      </w:tr>
    </w:tbl>
    <w:p>
      <w:pPr>
        <w:pStyle w:val="Heading3"/>
        <w:spacing w:after="80" w:before="180"/>
      </w:pPr>
      <w:r>
        <w:rPr>
          <w:rFonts w:ascii="Calibri" w:cs="Calibri" w:eastAsia="Calibri" w:hAnsi="Calibri"/>
          <w:b/>
          <w:bCs/>
          <w:color w:val="1F2937"/>
          <w:sz w:val="22"/>
          <w:szCs w:val="22"/>
        </w:rPr>
        <w:t xml:space="preserve">Yash Doshi — Frontend (web client)</w:t>
      </w:r>
    </w:p>
    <w:p>
      <w:pPr>
        <w:spacing w:after="120" w:before="0" w:line="276"/>
      </w:pPr>
      <w:r>
        <w:rPr>
          <w:rFonts w:ascii="Calibri" w:cs="Calibri" w:eastAsia="Calibri" w:hAnsi="Calibri"/>
          <w:color w:val="6B7280"/>
          <w:sz w:val="18"/>
          <w:szCs w:val="18"/>
        </w:rPr>
        <w:t xml:space="preserve">Area of the repository: web/</w:t>
      </w:r>
    </w:p>
    <w:tbl>
      <w:tblPr>
        <w:tblW w:type="dxa" w:w="10467"/>
        <w:tblBorders>
          <w:top w:val="single" w:color="auto" w:sz="4"/>
          <w:left w:val="single" w:color="auto" w:sz="4"/>
          <w:bottom w:val="single" w:color="auto" w:sz="4"/>
          <w:right w:val="single" w:color="auto" w:sz="4"/>
          <w:insideH w:val="single" w:color="auto" w:sz="4"/>
          <w:insideV w:val="single" w:color="auto" w:sz="4"/>
        </w:tblBorders>
      </w:tblPr>
      <w:tblGrid>
        <w:gridCol w:w="328"/>
        <w:gridCol w:w="3280"/>
        <w:gridCol w:w="1789"/>
        <w:gridCol w:w="2385"/>
        <w:gridCol w:w="894"/>
        <w:gridCol w:w="894"/>
        <w:gridCol w:w="897"/>
      </w:tblGrid>
      <w:tr>
        <w:trPr>
          <w:tblHeader/>
        </w:trPr>
        <w:tc>
          <w:tcPr>
            <w:tcW w:type="dxa" w:w="328"/>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w:t>
            </w:r>
          </w:p>
        </w:tc>
        <w:tc>
          <w:tcPr>
            <w:tcW w:type="dxa" w:w="3280"/>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Work</w:t>
            </w:r>
          </w:p>
        </w:tc>
        <w:tc>
          <w:tcPr>
            <w:tcW w:type="dxa" w:w="1789"/>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Where</w:t>
            </w:r>
          </w:p>
        </w:tc>
        <w:tc>
          <w:tcPr>
            <w:tcW w:type="dxa" w:w="2385"/>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Suggested commit message</w:t>
            </w:r>
          </w:p>
        </w:tc>
        <w:tc>
          <w:tcPr>
            <w:tcW w:type="dxa" w:w="894"/>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Expected date</w:t>
            </w:r>
          </w:p>
        </w:tc>
        <w:tc>
          <w:tcPr>
            <w:tcW w:type="dxa" w:w="894"/>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Commit hash</w:t>
            </w:r>
          </w:p>
        </w:tc>
        <w:tc>
          <w:tcPr>
            <w:tcW w:type="dxa" w:w="897"/>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Actual date</w:t>
            </w:r>
          </w:p>
        </w:tc>
      </w:tr>
      <w:tr>
        <w:tc>
          <w:tcPr>
            <w:tcW w:type="dxa" w:w="32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1</w:t>
            </w:r>
          </w:p>
        </w:tc>
        <w:tc>
          <w:tcPr>
            <w:tcW w:type="dxa" w:w="328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Move audit-log filtering to the server, so search covers every page (FR-GOV-04)</w:t>
            </w:r>
          </w:p>
        </w:tc>
        <w:tc>
          <w:tcPr>
            <w:tcW w:type="dxa" w:w="1789"/>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web AuditLog route</w:t>
            </w:r>
          </w:p>
        </w:tc>
        <w:tc>
          <w:tcPr>
            <w:tcW w:type="dxa" w:w="238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Web: filter the audit log on the server</w:t>
            </w:r>
          </w:p>
        </w:tc>
        <w:tc>
          <w:tcPr>
            <w:tcW w:type="dxa" w:w="89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Tue 6 Oct</w:t>
            </w:r>
          </w:p>
        </w:tc>
        <w:tc>
          <w:tcPr>
            <w:tcW w:type="dxa" w:w="89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p>
        </w:tc>
        <w:tc>
          <w:tcPr>
            <w:tcW w:type="dxa" w:w="89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p>
        </w:tc>
      </w:tr>
      <w:tr>
        <w:tc>
          <w:tcPr>
            <w:tcW w:type="dxa" w:w="328"/>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2</w:t>
            </w:r>
          </w:p>
        </w:tc>
        <w:tc>
          <w:tcPr>
            <w:tcW w:type="dxa" w:w="328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Remove the two unused dependencies (TanStack Router and Recharts)</w:t>
            </w:r>
          </w:p>
        </w:tc>
        <w:tc>
          <w:tcPr>
            <w:tcW w:type="dxa" w:w="1789"/>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web package.json</w:t>
            </w:r>
          </w:p>
        </w:tc>
        <w:tc>
          <w:tcPr>
            <w:tcW w:type="dxa" w:w="2385"/>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Web: remove unused dependencies</w:t>
            </w:r>
          </w:p>
        </w:tc>
        <w:tc>
          <w:tcPr>
            <w:tcW w:type="dxa" w:w="89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Wed 14 Oct</w:t>
            </w:r>
          </w:p>
        </w:tc>
        <w:tc>
          <w:tcPr>
            <w:tcW w:type="dxa" w:w="89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p>
        </w:tc>
        <w:tc>
          <w:tcPr>
            <w:tcW w:type="dxa" w:w="89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p>
        </w:tc>
      </w:tr>
      <w:tr>
        <w:tc>
          <w:tcPr>
            <w:tcW w:type="dxa" w:w="32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3</w:t>
            </w:r>
          </w:p>
        </w:tc>
        <w:tc>
          <w:tcPr>
            <w:tcW w:type="dxa" w:w="328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Show the session list and remote sign-out on the profile page once the API exists</w:t>
            </w:r>
          </w:p>
        </w:tc>
        <w:tc>
          <w:tcPr>
            <w:tcW w:type="dxa" w:w="1789"/>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web Profile route</w:t>
            </w:r>
          </w:p>
        </w:tc>
        <w:tc>
          <w:tcPr>
            <w:tcW w:type="dxa" w:w="238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Web: add session list to the profile page</w:t>
            </w:r>
          </w:p>
        </w:tc>
        <w:tc>
          <w:tcPr>
            <w:tcW w:type="dxa" w:w="89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Thu 22 Oct</w:t>
            </w:r>
          </w:p>
        </w:tc>
        <w:tc>
          <w:tcPr>
            <w:tcW w:type="dxa" w:w="89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p>
        </w:tc>
        <w:tc>
          <w:tcPr>
            <w:tcW w:type="dxa" w:w="89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p>
        </w:tc>
      </w:tr>
    </w:tbl>
    <w:p>
      <w:pPr>
        <w:pStyle w:val="Heading3"/>
        <w:spacing w:after="80" w:before="180"/>
      </w:pPr>
      <w:r>
        <w:rPr>
          <w:rFonts w:ascii="Calibri" w:cs="Calibri" w:eastAsia="Calibri" w:hAnsi="Calibri"/>
          <w:b/>
          <w:bCs/>
          <w:color w:val="1F2937"/>
          <w:sz w:val="22"/>
          <w:szCs w:val="22"/>
        </w:rPr>
        <w:t xml:space="preserve">Afif Momin — DevOps, testing and documentation</w:t>
      </w:r>
    </w:p>
    <w:p>
      <w:pPr>
        <w:spacing w:after="120" w:before="0" w:line="276"/>
      </w:pPr>
      <w:r>
        <w:rPr>
          <w:rFonts w:ascii="Calibri" w:cs="Calibri" w:eastAsia="Calibri" w:hAnsi="Calibri"/>
          <w:color w:val="6B7280"/>
          <w:sz w:val="18"/>
          <w:szCs w:val="18"/>
        </w:rPr>
        <w:t xml:space="preserve">Area of the repository: .github/, infra/, tests</w:t>
      </w:r>
    </w:p>
    <w:tbl>
      <w:tblPr>
        <w:tblW w:type="dxa" w:w="10467"/>
        <w:tblBorders>
          <w:top w:val="single" w:color="auto" w:sz="4"/>
          <w:left w:val="single" w:color="auto" w:sz="4"/>
          <w:bottom w:val="single" w:color="auto" w:sz="4"/>
          <w:right w:val="single" w:color="auto" w:sz="4"/>
          <w:insideH w:val="single" w:color="auto" w:sz="4"/>
          <w:insideV w:val="single" w:color="auto" w:sz="4"/>
        </w:tblBorders>
      </w:tblPr>
      <w:tblGrid>
        <w:gridCol w:w="328"/>
        <w:gridCol w:w="3280"/>
        <w:gridCol w:w="1789"/>
        <w:gridCol w:w="2385"/>
        <w:gridCol w:w="894"/>
        <w:gridCol w:w="894"/>
        <w:gridCol w:w="897"/>
      </w:tblGrid>
      <w:tr>
        <w:trPr>
          <w:tblHeader/>
        </w:trPr>
        <w:tc>
          <w:tcPr>
            <w:tcW w:type="dxa" w:w="328"/>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w:t>
            </w:r>
          </w:p>
        </w:tc>
        <w:tc>
          <w:tcPr>
            <w:tcW w:type="dxa" w:w="3280"/>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Work</w:t>
            </w:r>
          </w:p>
        </w:tc>
        <w:tc>
          <w:tcPr>
            <w:tcW w:type="dxa" w:w="1789"/>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Where</w:t>
            </w:r>
          </w:p>
        </w:tc>
        <w:tc>
          <w:tcPr>
            <w:tcW w:type="dxa" w:w="2385"/>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Suggested commit message</w:t>
            </w:r>
          </w:p>
        </w:tc>
        <w:tc>
          <w:tcPr>
            <w:tcW w:type="dxa" w:w="894"/>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Expected date</w:t>
            </w:r>
          </w:p>
        </w:tc>
        <w:tc>
          <w:tcPr>
            <w:tcW w:type="dxa" w:w="894"/>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Commit hash</w:t>
            </w:r>
          </w:p>
        </w:tc>
        <w:tc>
          <w:tcPr>
            <w:tcW w:type="dxa" w:w="897"/>
            <w:tcBorders>
              <w:top w:val="single" w:color="D2DDEE" w:sz="4"/>
              <w:left w:val="single" w:color="D2DDEE" w:sz="4"/>
              <w:bottom w:val="single" w:color="D2DDEE" w:sz="4"/>
              <w:right w:val="single" w:color="D2DDEE" w:sz="4"/>
            </w:tcBorders>
            <w:shd w:fill="1F3B5C" w:color="auto" w:val="clear"/>
            <w:tcMar>
              <w:top w:type="dxa" w:w="60"/>
              <w:left w:type="dxa" w:w="100"/>
              <w:bottom w:type="dxa" w:w="60"/>
              <w:right w:type="dxa" w:w="100"/>
            </w:tcMar>
            <w:vAlign w:val="top"/>
          </w:tcPr>
          <w:p>
            <w:pPr>
              <w:spacing w:after="20" w:line="252"/>
            </w:pPr>
            <w:r>
              <w:rPr>
                <w:rFonts w:ascii="Calibri" w:cs="Calibri" w:eastAsia="Calibri" w:hAnsi="Calibri"/>
                <w:b/>
                <w:bCs/>
                <w:color w:val="FFFFFF"/>
                <w:sz w:val="17"/>
                <w:szCs w:val="17"/>
              </w:rPr>
              <w:t xml:space="preserve">Actual date</w:t>
            </w:r>
          </w:p>
        </w:tc>
      </w:tr>
      <w:tr>
        <w:tc>
          <w:tcPr>
            <w:tcW w:type="dxa" w:w="32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1</w:t>
            </w:r>
          </w:p>
        </w:tc>
        <w:tc>
          <w:tcPr>
            <w:tcW w:type="dxa" w:w="328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Run ESLint in CI (it is configured but not run)</w:t>
            </w:r>
          </w:p>
        </w:tc>
        <w:tc>
          <w:tcPr>
            <w:tcW w:type="dxa" w:w="1789"/>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.github/workflows/ci.yml</w:t>
            </w:r>
          </w:p>
        </w:tc>
        <w:tc>
          <w:tcPr>
            <w:tcW w:type="dxa" w:w="238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CI: run web lint</w:t>
            </w:r>
          </w:p>
        </w:tc>
        <w:tc>
          <w:tcPr>
            <w:tcW w:type="dxa" w:w="89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Wed 7 Oct</w:t>
            </w:r>
          </w:p>
        </w:tc>
        <w:tc>
          <w:tcPr>
            <w:tcW w:type="dxa" w:w="89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p>
        </w:tc>
        <w:tc>
          <w:tcPr>
            <w:tcW w:type="dxa" w:w="89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p>
        </w:tc>
      </w:tr>
      <w:tr>
        <w:tc>
          <w:tcPr>
            <w:tcW w:type="dxa" w:w="328"/>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2</w:t>
            </w:r>
          </w:p>
        </w:tc>
        <w:tc>
          <w:tcPr>
            <w:tcW w:type="dxa" w:w="328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Fill the Kubernetes placeholders (image tag, CORS origins, internal service secret) so a service can start</w:t>
            </w:r>
          </w:p>
        </w:tc>
        <w:tc>
          <w:tcPr>
            <w:tcW w:type="dxa" w:w="1789"/>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infra/k8s/base</w:t>
            </w:r>
          </w:p>
        </w:tc>
        <w:tc>
          <w:tcPr>
            <w:tcW w:type="dxa" w:w="2385"/>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K8s: complete required configuration</w:t>
            </w:r>
          </w:p>
        </w:tc>
        <w:tc>
          <w:tcPr>
            <w:tcW w:type="dxa" w:w="89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Thu 15 Oct</w:t>
            </w:r>
          </w:p>
        </w:tc>
        <w:tc>
          <w:tcPr>
            <w:tcW w:type="dxa" w:w="89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p>
        </w:tc>
        <w:tc>
          <w:tcPr>
            <w:tcW w:type="dxa" w:w="89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p>
        </w:tc>
      </w:tr>
      <w:tr>
        <w:tc>
          <w:tcPr>
            <w:tcW w:type="dxa" w:w="328"/>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3</w:t>
            </w:r>
          </w:p>
        </w:tc>
        <w:tc>
          <w:tcPr>
            <w:tcW w:type="dxa" w:w="3280"/>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Add a CI job that builds the service container images</w:t>
            </w:r>
          </w:p>
        </w:tc>
        <w:tc>
          <w:tcPr>
            <w:tcW w:type="dxa" w:w="1789"/>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.github/workflows/ci.yml</w:t>
            </w:r>
          </w:p>
        </w:tc>
        <w:tc>
          <w:tcPr>
            <w:tcW w:type="dxa" w:w="2385"/>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CI: build container images</w:t>
            </w:r>
          </w:p>
        </w:tc>
        <w:tc>
          <w:tcPr>
            <w:tcW w:type="dxa" w:w="89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Fri 23 Oct</w:t>
            </w:r>
          </w:p>
        </w:tc>
        <w:tc>
          <w:tcPr>
            <w:tcW w:type="dxa" w:w="894"/>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p>
        </w:tc>
        <w:tc>
          <w:tcPr>
            <w:tcW w:type="dxa" w:w="897"/>
            <w:tcBorders>
              <w:top w:val="single" w:color="D2DDEE" w:sz="4"/>
              <w:left w:val="single" w:color="D2DDEE" w:sz="4"/>
              <w:bottom w:val="single" w:color="D2DDEE" w:sz="4"/>
              <w:right w:val="single" w:color="D2DDEE" w:sz="4"/>
            </w:tcBorders>
            <w:tcMar>
              <w:top w:type="dxa" w:w="60"/>
              <w:left w:type="dxa" w:w="100"/>
              <w:bottom w:type="dxa" w:w="60"/>
              <w:right w:type="dxa" w:w="100"/>
            </w:tcMar>
            <w:vAlign w:val="top"/>
          </w:tcPr>
          <w:p>
            <w:pPr>
              <w:spacing w:after="20" w:line="252"/>
            </w:pPr>
          </w:p>
        </w:tc>
      </w:tr>
      <w:tr>
        <w:tc>
          <w:tcPr>
            <w:tcW w:type="dxa" w:w="328"/>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4</w:t>
            </w:r>
          </w:p>
        </w:tc>
        <w:tc>
          <w:tcPr>
            <w:tcW w:type="dxa" w:w="3280"/>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Add tests to the services that have none</w:t>
            </w:r>
          </w:p>
        </w:tc>
        <w:tc>
          <w:tcPr>
            <w:tcW w:type="dxa" w:w="1789"/>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services/*/src/test</w:t>
            </w:r>
          </w:p>
        </w:tc>
        <w:tc>
          <w:tcPr>
            <w:tcW w:type="dxa" w:w="2385"/>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Tests: add first tests for untested services</w:t>
            </w:r>
          </w:p>
        </w:tc>
        <w:tc>
          <w:tcPr>
            <w:tcW w:type="dxa" w:w="89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r>
              <w:rPr>
                <w:rFonts w:ascii="Calibri" w:cs="Calibri" w:eastAsia="Calibri" w:hAnsi="Calibri"/>
                <w:color w:val="1F2937"/>
                <w:sz w:val="15"/>
                <w:szCs w:val="15"/>
              </w:rPr>
              <w:t xml:space="preserve">Mon 19 Oct</w:t>
            </w:r>
          </w:p>
        </w:tc>
        <w:tc>
          <w:tcPr>
            <w:tcW w:type="dxa" w:w="894"/>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p>
        </w:tc>
        <w:tc>
          <w:tcPr>
            <w:tcW w:type="dxa" w:w="897"/>
            <w:tcBorders>
              <w:top w:val="single" w:color="D2DDEE" w:sz="4"/>
              <w:left w:val="single" w:color="D2DDEE" w:sz="4"/>
              <w:bottom w:val="single" w:color="D2DDEE" w:sz="4"/>
              <w:right w:val="single" w:color="D2DDEE" w:sz="4"/>
            </w:tcBorders>
            <w:shd w:fill="EEF2F7" w:color="auto" w:val="clear"/>
            <w:tcMar>
              <w:top w:type="dxa" w:w="60"/>
              <w:left w:type="dxa" w:w="100"/>
              <w:bottom w:type="dxa" w:w="60"/>
              <w:right w:type="dxa" w:w="100"/>
            </w:tcMar>
            <w:vAlign w:val="top"/>
          </w:tcPr>
          <w:p>
            <w:pPr>
              <w:spacing w:after="20" w:line="252"/>
            </w:pPr>
          </w:p>
        </w:tc>
      </w:tr>
    </w:tbl>
    <w:p>
      <w:pPr>
        <w:pStyle w:val="Heading1"/>
        <w:pageBreakBefore/>
        <w:spacing w:after="160" w:before="120"/>
      </w:pPr>
      <w:r>
        <w:rPr>
          <w:rFonts w:ascii="Calibri" w:cs="Calibri" w:eastAsia="Calibri" w:hAnsi="Calibri"/>
          <w:b/>
          <w:bCs/>
          <w:color w:val="1F3B5C"/>
          <w:sz w:val="32"/>
          <w:szCs w:val="32"/>
        </w:rPr>
        <w:t xml:space="preserve">Checking progress honestly</w:t>
      </w:r>
    </w:p>
    <w:p>
      <w:pPr>
        <w:pStyle w:val="ListParagraph"/>
        <w:numPr>
          <w:ilvl w:val="0"/>
          <w:numId w:val="2"/>
        </w:numPr>
        <w:spacing w:after="60" w:line="264"/>
      </w:pPr>
      <w:r>
        <w:rPr>
          <w:rFonts w:ascii="Consolas" w:cs="Consolas" w:eastAsia="Consolas" w:hAnsi="Consolas"/>
          <w:color w:val="2B4C7E"/>
          <w:sz w:val="19"/>
          <w:szCs w:val="19"/>
        </w:rPr>
        <w:t xml:space="preserve">git shortlog -sne</w:t>
      </w:r>
      <w:r>
        <w:rPr>
          <w:rFonts w:ascii="Calibri" w:cs="Calibri" w:eastAsia="Calibri" w:hAnsi="Calibri"/>
          <w:color w:val="1F2937"/>
          <w:sz w:val="21"/>
          <w:szCs w:val="21"/>
        </w:rPr>
        <w:t xml:space="preserve"> lists commits per author, using the real author identity on each commit.</w:t>
      </w:r>
    </w:p>
    <w:p>
      <w:pPr>
        <w:pStyle w:val="ListParagraph"/>
        <w:numPr>
          <w:ilvl w:val="0"/>
          <w:numId w:val="2"/>
        </w:numPr>
        <w:spacing w:after="60" w:line="264"/>
      </w:pPr>
      <w:r>
        <w:rPr>
          <w:rFonts w:ascii="Consolas" w:cs="Consolas" w:eastAsia="Consolas" w:hAnsi="Consolas"/>
          <w:color w:val="2B4C7E"/>
          <w:sz w:val="19"/>
          <w:szCs w:val="19"/>
        </w:rPr>
        <w:t xml:space="preserve">git log --author="&lt;name&gt;" --format="%h %ad %s" --date=short</w:t>
      </w:r>
      <w:r>
        <w:rPr>
          <w:rFonts w:ascii="Calibri" w:cs="Calibri" w:eastAsia="Calibri" w:hAnsi="Calibri"/>
          <w:color w:val="1F2937"/>
          <w:sz w:val="21"/>
          <w:szCs w:val="21"/>
        </w:rPr>
        <w:t xml:space="preserve"> shows one person’s commits with their real dates.</w:t>
      </w:r>
    </w:p>
    <w:p>
      <w:pPr>
        <w:pStyle w:val="ListParagraph"/>
        <w:numPr>
          <w:ilvl w:val="0"/>
          <w:numId w:val="2"/>
        </w:numPr>
        <w:spacing w:after="60" w:line="264"/>
      </w:pPr>
      <w:r>
        <w:rPr>
          <w:rFonts w:ascii="Calibri" w:cs="Calibri" w:eastAsia="Calibri" w:hAnsi="Calibri"/>
          <w:color w:val="1F2937"/>
          <w:sz w:val="21"/>
          <w:szCs w:val="21"/>
        </w:rPr>
        <w:t xml:space="preserve">On GitHub, Insights then Contributors shows contribution over time, linked to each person’s own account when they commit with an email attached to that account.</w:t>
      </w:r>
    </w:p>
    <w:p>
      <w:pPr>
        <w:pStyle w:val="ListParagraph"/>
        <w:numPr>
          <w:ilvl w:val="0"/>
          <w:numId w:val="2"/>
        </w:numPr>
        <w:spacing w:after="60" w:line="264"/>
      </w:pPr>
      <w:r>
        <w:rPr>
          <w:rFonts w:ascii="Calibri" w:cs="Calibri" w:eastAsia="Calibri" w:hAnsi="Calibri"/>
          <w:color w:val="1F2937"/>
          <w:sz w:val="21"/>
          <w:szCs w:val="21"/>
        </w:rPr>
        <w:t xml:space="preserve">Each member should add their commit email to their GitHub account settings, so their commits are attributed to their profile.</w:t>
      </w:r>
    </w:p>
    <w:p>
      <w:pPr>
        <w:pStyle w:val="ListParagraph"/>
        <w:numPr>
          <w:ilvl w:val="0"/>
          <w:numId w:val="2"/>
        </w:numPr>
        <w:spacing w:after="60" w:line="264"/>
      </w:pPr>
      <w:r>
        <w:rPr>
          <w:rFonts w:ascii="Calibri" w:cs="Calibri" w:eastAsia="Calibri" w:hAnsi="Calibri"/>
          <w:color w:val="1F2937"/>
          <w:sz w:val="21"/>
          <w:szCs w:val="21"/>
        </w:rPr>
        <w:t xml:space="preserve">Add each member as a collaborator on the repository so they can push from their own account.</w:t>
      </w:r>
    </w:p>
    <w:p>
      <w:pPr>
        <w:spacing w:after="120" w:before="80" w:line="276"/>
      </w:pPr>
      <w:r>
        <w:rPr>
          <w:rFonts w:ascii="Calibri" w:cs="Calibri" w:eastAsia="Calibri" w:hAnsi="Calibri"/>
          <w:color w:val="1F2937"/>
          <w:sz w:val="21"/>
          <w:szCs w:val="21"/>
        </w:rPr>
        <w:t xml:space="preserve">Instructors who review contribution typically compare commit dates with the project milestones. A history that shows steady, real work from each member, even if it starts late, is stronger evidence than one that cannot be reconciled with when the work was done.</w:t>
      </w:r>
    </w:p>
    <w:sectPr>
      <w:headerReference w:type="default" r:id="rId6"/>
      <w:footerReference w:type="default" r:id="rId7"/>
      <w:pgSz w:w="11907" w:h="16839" w:orient="portrait"/>
      <w:pgMar w:top="900" w:right="720" w:bottom="90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2DDEE" w:sz="4"/>
      </w:pBdr>
    </w:pPr>
    <w:r>
      <w:rPr>
        <w:rFonts w:ascii="Calibri" w:cs="Calibri" w:eastAsia="Calibri" w:hAnsi="Calibri"/>
        <w:color w:val="6B7280"/>
        <w:sz w:val="16"/>
        <w:szCs w:val="16"/>
      </w:rPr>
      <w:t xml:space="preserve">AI Workforce OS — Team Contribution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B5C"/>
      <w:sz w:val="32"/>
      <w:szCs w:val="32"/>
    </w:rPr>
  </w:style>
  <w:style w:type="paragraph" w:styleId="Heading2">
    <w:name w:val="Heading 2"/>
    <w:basedOn w:val="Normal"/>
    <w:next w:val="Normal"/>
    <w:qFormat/>
    <w:rPr>
      <w:rFonts w:ascii="Calibri" w:cs="Calibri" w:eastAsia="Calibri" w:hAnsi="Calibri"/>
      <w:b/>
      <w:bCs/>
      <w:color w:val="2B4C7E"/>
      <w:sz w:val="26"/>
      <w:szCs w:val="26"/>
    </w:rPr>
  </w:style>
  <w:style w:type="paragraph" w:styleId="Heading3">
    <w:name w:val="Heading 3"/>
    <w:basedOn w:val="Normal"/>
    <w:next w:val="Normal"/>
    <w:qFormat/>
    <w:rPr>
      <w:rFonts w:ascii="Calibri" w:cs="Calibri" w:eastAsia="Calibri" w:hAnsi="Calibri"/>
      <w:b/>
      <w:bCs/>
      <w:color w:val="1F293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Workforce OS — Team Contribution Plan v1.0</dc:title>
  <dc:creator>AI Workforce OS Team</dc:creator>
  <cp:lastModifiedBy>Un-named</cp:lastModifiedBy>
  <cp:revision>1</cp:revision>
  <dcterms:created xsi:type="dcterms:W3CDTF">2026-10-02T06:08:51.512Z</dcterms:created>
  <dcterms:modified xsi:type="dcterms:W3CDTF">2026-10-02T06:08:51.515Z</dcterms:modified>
</cp:coreProperties>
</file>

<file path=docProps/custom.xml><?xml version="1.0" encoding="utf-8"?>
<Properties xmlns="http://schemas.openxmlformats.org/officeDocument/2006/custom-properties" xmlns:vt="http://schemas.openxmlformats.org/officeDocument/2006/docPropsVTypes"/>
</file>