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64A08" w14:textId="77777777" w:rsidR="001D7821" w:rsidRPr="00984407" w:rsidRDefault="001D7821" w:rsidP="001D7821">
      <w:pPr>
        <w:pStyle w:val="Heading1"/>
        <w:rPr>
          <w:rFonts w:eastAsia="Times New Roman" w:cs="Times New Roman"/>
          <w:szCs w:val="24"/>
          <w:lang w:eastAsia="fr-FR"/>
        </w:rPr>
      </w:pPr>
      <w:r w:rsidRPr="00984407">
        <w:rPr>
          <w:rFonts w:eastAsia="Times New Roman" w:cs="Times New Roman"/>
          <w:szCs w:val="24"/>
          <w:lang w:eastAsia="fr-FR"/>
        </w:rPr>
        <w:t>Atelier stratégique sur l’avenir de l’aviculture ouest-africaine</w:t>
      </w:r>
    </w:p>
    <w:p w14:paraId="35B30A9F" w14:textId="77777777" w:rsidR="001D7821" w:rsidRDefault="001D7821" w:rsidP="001D7821">
      <w:pPr>
        <w:pStyle w:val="NormalWeb"/>
        <w:jc w:val="both"/>
      </w:pPr>
      <w:r>
        <w:t xml:space="preserve">Le 1er juillet 2025, l’Interprofession des acteurs de la filière avicole du Sénégal (IPAS) a organisé un atelier d’échanges consacré à la cartographie des acteurs nationaux et aux perspectives de création d’une plateforme multi-acteurs régionale pour les filières avicoles. Cette rencontre a été animée par le Prof Cheikh Ly de la </w:t>
      </w:r>
      <w:r>
        <w:rPr>
          <w:rStyle w:val="Strong"/>
        </w:rPr>
        <w:t>Fondation Rurale de l’Afrique de l’Ouest (FRAO)</w:t>
      </w:r>
      <w:r>
        <w:t xml:space="preserve"> au Centre National Avicole (CNA) de Mbao.</w:t>
      </w:r>
    </w:p>
    <w:p w14:paraId="30AB3707" w14:textId="77777777" w:rsidR="001D7821" w:rsidRDefault="001D7821" w:rsidP="001D7821">
      <w:pPr>
        <w:pStyle w:val="Heading3"/>
      </w:pPr>
      <w:r>
        <w:t>Un secteur en pleine mutation</w:t>
      </w:r>
    </w:p>
    <w:p w14:paraId="336AC30A" w14:textId="77777777" w:rsidR="001D7821" w:rsidRDefault="001D7821" w:rsidP="001D7821">
      <w:pPr>
        <w:pStyle w:val="NormalWeb"/>
      </w:pPr>
      <w:r>
        <w:t>L’aviculture, segment clé du sous-secteur de l’élevage, connaît un essor remarquable en Afrique de l’Ouest et au Sahel. Elle joue un rôle économique, nutritionnel et culturel majeur, mais reste encore loin de satisfaire la demande régionale en produits de volaille. Les défis sont nombreux : déficit de financements, dépendance aux intrants importés, faiblesse des échanges régionaux et absence de stratégie publique claire.</w:t>
      </w:r>
    </w:p>
    <w:p w14:paraId="21C912A7" w14:textId="77777777" w:rsidR="001D7821" w:rsidRPr="00504BF5" w:rsidRDefault="001D7821" w:rsidP="001D7821">
      <w:pPr>
        <w:pStyle w:val="Heading3"/>
        <w:rPr>
          <w:lang w:val="fr-SN"/>
        </w:rPr>
      </w:pPr>
      <w:r>
        <w:t>Trois sessions riches en débats</w:t>
      </w:r>
    </w:p>
    <w:p w14:paraId="39DD571A" w14:textId="77777777"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t>Sous l’animation de la FRAO, l’atelier a permis de dresser un état des lieux précis de la filière avicole au Sénégal et d’ouvrir le débat sur son avenir régional. Trois sessions ont rythmé la journée, chacune apportant des éclairages et des propositions concrètes.</w:t>
      </w:r>
    </w:p>
    <w:p w14:paraId="7B635064" w14:textId="77777777"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t xml:space="preserve">La première session a présenté la </w:t>
      </w:r>
      <w:r w:rsidRPr="00984407">
        <w:rPr>
          <w:rFonts w:ascii="Times New Roman" w:eastAsia="Times New Roman" w:hAnsi="Times New Roman" w:cs="Times New Roman"/>
          <w:b/>
          <w:bCs/>
          <w:sz w:val="24"/>
          <w:szCs w:val="24"/>
          <w:lang w:val="fr-SN"/>
        </w:rPr>
        <w:t>cartographie des acteurs avicoles</w:t>
      </w:r>
      <w:r w:rsidRPr="00984407">
        <w:rPr>
          <w:rFonts w:ascii="Times New Roman" w:eastAsia="Times New Roman" w:hAnsi="Times New Roman" w:cs="Times New Roman"/>
          <w:sz w:val="24"/>
          <w:szCs w:val="24"/>
          <w:lang w:val="fr-SN"/>
        </w:rPr>
        <w:t xml:space="preserve"> du pays. Les participants ont enrichi le document en ajoutant de nouvelles entités actives et en supprimant les structures inactives, confirmant ainsi la vitalité du secteur.</w:t>
      </w:r>
    </w:p>
    <w:p w14:paraId="2C100544" w14:textId="77777777"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t xml:space="preserve">La deuxième session a mis en avant la </w:t>
      </w:r>
      <w:r w:rsidRPr="00984407">
        <w:rPr>
          <w:rFonts w:ascii="Times New Roman" w:eastAsia="Times New Roman" w:hAnsi="Times New Roman" w:cs="Times New Roman"/>
          <w:b/>
          <w:bCs/>
          <w:sz w:val="24"/>
          <w:szCs w:val="24"/>
          <w:lang w:val="fr-SN"/>
        </w:rPr>
        <w:t>Stratégie de Développement de l’Aviculture Rurale (SDAR)</w:t>
      </w:r>
      <w:r w:rsidRPr="00984407">
        <w:rPr>
          <w:rFonts w:ascii="Times New Roman" w:eastAsia="Times New Roman" w:hAnsi="Times New Roman" w:cs="Times New Roman"/>
          <w:sz w:val="24"/>
          <w:szCs w:val="24"/>
          <w:lang w:val="fr-SN"/>
        </w:rPr>
        <w:t>, élaborée en 2024 et vulgarisée dans 12 régions. Les échanges ont souligné l’importance d’intégrer l’aviculture familiale rurale dans la dynamique nationale, tout en fixant des priorités comme la digitalisation du suivi de production et la finalisation de la stratégie IPAS 2025-2029.</w:t>
      </w:r>
    </w:p>
    <w:p w14:paraId="7DA6BBC5" w14:textId="77777777"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t xml:space="preserve">Enfin, la troisième session a débouché sur une </w:t>
      </w:r>
      <w:r w:rsidRPr="00984407">
        <w:rPr>
          <w:rFonts w:ascii="Times New Roman" w:eastAsia="Times New Roman" w:hAnsi="Times New Roman" w:cs="Times New Roman"/>
          <w:b/>
          <w:bCs/>
          <w:sz w:val="24"/>
          <w:szCs w:val="24"/>
          <w:lang w:val="fr-SN"/>
        </w:rPr>
        <w:t>feuille de route régionale</w:t>
      </w:r>
      <w:r w:rsidRPr="00984407">
        <w:rPr>
          <w:rFonts w:ascii="Times New Roman" w:eastAsia="Times New Roman" w:hAnsi="Times New Roman" w:cs="Times New Roman"/>
          <w:sz w:val="24"/>
          <w:szCs w:val="24"/>
          <w:lang w:val="fr-SN"/>
        </w:rPr>
        <w:t xml:space="preserve">. Les participants ont recommandé la création d’une </w:t>
      </w:r>
      <w:proofErr w:type="spellStart"/>
      <w:r w:rsidRPr="00984407">
        <w:rPr>
          <w:rFonts w:ascii="Times New Roman" w:eastAsia="Times New Roman" w:hAnsi="Times New Roman" w:cs="Times New Roman"/>
          <w:b/>
          <w:bCs/>
          <w:sz w:val="24"/>
          <w:szCs w:val="24"/>
          <w:lang w:val="fr-SN"/>
        </w:rPr>
        <w:t>task</w:t>
      </w:r>
      <w:proofErr w:type="spellEnd"/>
      <w:r w:rsidRPr="00984407">
        <w:rPr>
          <w:rFonts w:ascii="Times New Roman" w:eastAsia="Times New Roman" w:hAnsi="Times New Roman" w:cs="Times New Roman"/>
          <w:b/>
          <w:bCs/>
          <w:sz w:val="24"/>
          <w:szCs w:val="24"/>
          <w:lang w:val="fr-SN"/>
        </w:rPr>
        <w:t xml:space="preserve"> force ouest-africaine</w:t>
      </w:r>
      <w:r w:rsidRPr="00984407">
        <w:rPr>
          <w:rFonts w:ascii="Times New Roman" w:eastAsia="Times New Roman" w:hAnsi="Times New Roman" w:cs="Times New Roman"/>
          <w:sz w:val="24"/>
          <w:szCs w:val="24"/>
          <w:lang w:val="fr-SN"/>
        </w:rPr>
        <w:t>, l’adoption rapide du plan stratégique de l’IPAS et la mise en place d’une plateforme multi-acteurs inspirée du modèle sénégalais.</w:t>
      </w:r>
    </w:p>
    <w:p w14:paraId="007E6C02" w14:textId="77777777" w:rsidR="001D7821" w:rsidRPr="00504BF5" w:rsidRDefault="001D7821" w:rsidP="001D7821">
      <w:pPr>
        <w:pStyle w:val="Heading3"/>
        <w:rPr>
          <w:lang w:val="fr-SN"/>
        </w:rPr>
      </w:pPr>
      <w:r>
        <w:t>Des recommandations fortes</w:t>
      </w:r>
    </w:p>
    <w:p w14:paraId="0D022A86" w14:textId="77777777" w:rsidR="001D7821" w:rsidRDefault="001D7821" w:rsidP="001D7821">
      <w:pPr>
        <w:pStyle w:val="NormalWeb"/>
      </w:pPr>
      <w:r>
        <w:t>Les discussions ont abouti à des recommandations majeures : réviser la réglementation, développer des fermes agréées de poussins (OAC), renforcer l’aviculture villageoise, promouvoir le poulet label pour les marchés de niche, et consolider la coopération public-privé. Les participants ont également insisté sur la nécessité d’une diplomatie avicole active pour porter la voix de la filière au niveau régional.</w:t>
      </w:r>
    </w:p>
    <w:p w14:paraId="27260716" w14:textId="77777777" w:rsidR="001D7821" w:rsidRDefault="001D7821" w:rsidP="001D7821">
      <w:pPr>
        <w:pStyle w:val="Heading3"/>
      </w:pPr>
      <w:r>
        <w:t>Une dynamique régionale en marche</w:t>
      </w:r>
    </w:p>
    <w:p w14:paraId="78EAA301" w14:textId="77777777"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lastRenderedPageBreak/>
        <w:t>En animant cet atelier, la FRAO a joué un rôle central dans la mobilisation des acteurs et la définition d’une vision commune. Les participants ont unanimement reconnu l’urgence de structurer la filière à l’échelle régionale afin de répondre aux enjeux de sécurité alimentaire, d’intégration économique et de création d’emplois.</w:t>
      </w:r>
    </w:p>
    <w:p w14:paraId="5C7C54E9" w14:textId="77777777" w:rsidR="00811D03" w:rsidRDefault="00CE6C8B">
      <w:pPr>
        <w:rPr>
          <w:lang w:val="fr-SN"/>
        </w:rPr>
      </w:pPr>
      <w:r w:rsidRPr="00CE6C8B">
        <w:rPr>
          <w:noProof/>
          <w:lang w:val="en-US"/>
        </w:rPr>
        <w:drawing>
          <wp:inline distT="0" distB="0" distL="0" distR="0" wp14:anchorId="13F04C3D" wp14:editId="1FF72797">
            <wp:extent cx="6019800" cy="5791200"/>
            <wp:effectExtent l="0" t="0" r="0" b="0"/>
            <wp:docPr id="1" name="Image 1" descr="C:\Users\NGFALL\Desktop\IMG_2665 (3).HE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FALL\Desktop\IMG_2665 (3).HEIC"/>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48444" cy="5818756"/>
                    </a:xfrm>
                    <a:prstGeom prst="rect">
                      <a:avLst/>
                    </a:prstGeom>
                    <a:noFill/>
                    <a:ln>
                      <a:noFill/>
                    </a:ln>
                  </pic:spPr>
                </pic:pic>
              </a:graphicData>
            </a:graphic>
          </wp:inline>
        </w:drawing>
      </w:r>
    </w:p>
    <w:p w14:paraId="28D25453" w14:textId="77777777" w:rsidR="00811D03" w:rsidRDefault="00811D03" w:rsidP="00811D03">
      <w:pPr>
        <w:rPr>
          <w:lang w:val="fr-SN"/>
        </w:rPr>
      </w:pPr>
    </w:p>
    <w:p w14:paraId="27F9BA49" w14:textId="77777777" w:rsidR="0077053D" w:rsidRDefault="00811D03" w:rsidP="00811D03">
      <w:pPr>
        <w:tabs>
          <w:tab w:val="left" w:pos="3300"/>
        </w:tabs>
        <w:rPr>
          <w:lang w:val="fr-SN"/>
        </w:rPr>
      </w:pPr>
      <w:r>
        <w:rPr>
          <w:lang w:val="fr-SN"/>
        </w:rPr>
        <w:lastRenderedPageBreak/>
        <w:tab/>
      </w:r>
      <w:r w:rsidRPr="00811D03">
        <w:rPr>
          <w:noProof/>
          <w:lang w:val="en-US"/>
        </w:rPr>
        <w:drawing>
          <wp:inline distT="0" distB="0" distL="0" distR="0" wp14:anchorId="727B8BC2" wp14:editId="2F5A61A6">
            <wp:extent cx="5721985" cy="5463540"/>
            <wp:effectExtent l="0" t="0" r="0" b="3810"/>
            <wp:docPr id="2" name="Image 2" descr="C:\Users\NGFALL\Desktop\IMG_2670.HE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GFALL\Desktop\IMG_2670.HEI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3817" cy="5484386"/>
                    </a:xfrm>
                    <a:prstGeom prst="rect">
                      <a:avLst/>
                    </a:prstGeom>
                    <a:noFill/>
                    <a:ln>
                      <a:noFill/>
                    </a:ln>
                  </pic:spPr>
                </pic:pic>
              </a:graphicData>
            </a:graphic>
          </wp:inline>
        </w:drawing>
      </w:r>
    </w:p>
    <w:p w14:paraId="326C5CF6" w14:textId="77777777" w:rsidR="0077053D" w:rsidRDefault="0077053D" w:rsidP="0077053D">
      <w:pPr>
        <w:rPr>
          <w:lang w:val="fr-SN"/>
        </w:rPr>
      </w:pPr>
    </w:p>
    <w:p w14:paraId="02370610" w14:textId="77777777" w:rsidR="004B4441" w:rsidRPr="0077053D" w:rsidRDefault="0077053D" w:rsidP="0077053D">
      <w:pPr>
        <w:rPr>
          <w:lang w:val="fr-SN"/>
        </w:rPr>
      </w:pPr>
      <w:r w:rsidRPr="0077053D">
        <w:rPr>
          <w:noProof/>
          <w:lang w:val="en-US"/>
        </w:rPr>
        <w:lastRenderedPageBreak/>
        <w:drawing>
          <wp:inline distT="0" distB="0" distL="0" distR="0" wp14:anchorId="0655CAFA" wp14:editId="4C9682E5">
            <wp:extent cx="6471584" cy="6804660"/>
            <wp:effectExtent l="0" t="0" r="5715" b="0"/>
            <wp:docPr id="5" name="Image 5" descr="C:\Users\NGFALL\Desktop\IMG_2671 (1).HE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GFALL\Desktop\IMG_2671 (1).HE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77476" cy="6810856"/>
                    </a:xfrm>
                    <a:prstGeom prst="rect">
                      <a:avLst/>
                    </a:prstGeom>
                    <a:noFill/>
                    <a:ln>
                      <a:noFill/>
                    </a:ln>
                  </pic:spPr>
                </pic:pic>
              </a:graphicData>
            </a:graphic>
          </wp:inline>
        </w:drawing>
      </w:r>
    </w:p>
    <w:sectPr w:rsidR="004B4441" w:rsidRPr="0077053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821"/>
    <w:rsid w:val="00132753"/>
    <w:rsid w:val="001D7821"/>
    <w:rsid w:val="004B4441"/>
    <w:rsid w:val="0077053D"/>
    <w:rsid w:val="007E5F2C"/>
    <w:rsid w:val="00811D03"/>
    <w:rsid w:val="009C008B"/>
    <w:rsid w:val="00A604D1"/>
    <w:rsid w:val="00CE6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2D3A"/>
  <w15:chartTrackingRefBased/>
  <w15:docId w15:val="{140B92EF-A3DA-4D0B-8D47-AA84251B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821"/>
    <w:rPr>
      <w:lang w:val="fr-FR"/>
    </w:rPr>
  </w:style>
  <w:style w:type="paragraph" w:styleId="Heading1">
    <w:name w:val="heading 1"/>
    <w:basedOn w:val="Normal"/>
    <w:next w:val="Normal"/>
    <w:link w:val="Heading1Char"/>
    <w:uiPriority w:val="9"/>
    <w:qFormat/>
    <w:rsid w:val="001D78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1D782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21"/>
    <w:rPr>
      <w:rFonts w:asciiTheme="majorHAnsi" w:eastAsiaTheme="majorEastAsia" w:hAnsiTheme="majorHAnsi" w:cstheme="majorBidi"/>
      <w:color w:val="2E74B5" w:themeColor="accent1" w:themeShade="BF"/>
      <w:sz w:val="32"/>
      <w:szCs w:val="32"/>
      <w:lang w:val="fr-FR"/>
    </w:rPr>
  </w:style>
  <w:style w:type="character" w:customStyle="1" w:styleId="Heading3Char">
    <w:name w:val="Heading 3 Char"/>
    <w:basedOn w:val="DefaultParagraphFont"/>
    <w:link w:val="Heading3"/>
    <w:uiPriority w:val="9"/>
    <w:rsid w:val="001D7821"/>
    <w:rPr>
      <w:rFonts w:ascii="Times New Roman" w:eastAsia="Times New Roman" w:hAnsi="Times New Roman" w:cs="Times New Roman"/>
      <w:b/>
      <w:bCs/>
      <w:sz w:val="27"/>
      <w:szCs w:val="27"/>
      <w:lang w:val="fr-FR" w:eastAsia="fr-FR"/>
    </w:rPr>
  </w:style>
  <w:style w:type="character" w:styleId="Strong">
    <w:name w:val="Strong"/>
    <w:basedOn w:val="DefaultParagraphFont"/>
    <w:uiPriority w:val="22"/>
    <w:qFormat/>
    <w:rsid w:val="001D7821"/>
    <w:rPr>
      <w:b/>
      <w:bCs/>
    </w:rPr>
  </w:style>
  <w:style w:type="paragraph" w:styleId="NormalWeb">
    <w:name w:val="Normal (Web)"/>
    <w:basedOn w:val="Normal"/>
    <w:uiPriority w:val="99"/>
    <w:unhideWhenUsed/>
    <w:rsid w:val="001D782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46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440</Words>
  <Characters>2514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NGFALL</dc:creator>
  <cp:keywords/>
  <dc:description/>
  <cp:lastModifiedBy>abdoulaye Ly</cp:lastModifiedBy>
  <cp:revision>8</cp:revision>
  <dcterms:created xsi:type="dcterms:W3CDTF">2026-04-22T15:44:00Z</dcterms:created>
  <dcterms:modified xsi:type="dcterms:W3CDTF">2026-05-08T16:22:00Z</dcterms:modified>
</cp:coreProperties>
</file>