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Calibri" w:hAnsi="Calibri"/>
          <w:b/>
          <w:i w:val="0"/>
          <w:color w:val="0B2545"/>
          <w:sz w:val="56"/>
        </w:rPr>
        <w:t>RECONSTRUYE</w:t>
      </w:r>
    </w:p>
    <w:p>
      <w:pPr>
        <w:spacing w:after="360"/>
        <w:jc w:val="center"/>
      </w:pPr>
      <w:r>
        <w:rPr>
          <w:rFonts w:ascii="Calibri" w:hAnsi="Calibri"/>
          <w:b w:val="0"/>
          <w:i w:val="0"/>
          <w:color w:val="2E74B5"/>
          <w:sz w:val="36"/>
        </w:rPr>
        <w:t>Visión del Producto y Alcance del MVP</w:t>
      </w:r>
    </w:p>
    <w:p>
      <w:pPr>
        <w:spacing w:after="640"/>
        <w:jc w:val="center"/>
      </w:pPr>
      <w:r>
        <w:rPr>
          <w:rFonts w:ascii="Calibri" w:hAnsi="Calibri"/>
          <w:b w:val="0"/>
          <w:i/>
          <w:color w:val="5B6770"/>
          <w:sz w:val="24"/>
        </w:rPr>
        <w:t>Plataforma para conectar a hogares afectados con ayuda verificable para su reconstrucción.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Estado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Documento de descubrimiento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Versión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0.1 - propuesta inicial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Propósito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Base de alineación de producto antes del SRS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1. Propósito del documento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Este documento establece la visión, las decisiones de alcance y los criterios de éxito del producto Reconstruye. Su función es alinear a las personas promotoras, aliadas y al futuro equipo de diseño y desarrollo antes de especificar requisitos detallados en un SRS.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No es un diseño técnico ni una promesa de prestación de ayuda. Las reglas operativas, los mecanismos de verificación y los acuerdos con aliados deberán validarse durante el descubrimiento de campo y documentarse posteriormente.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2. Visión y propósito del producto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Reconstruye busca hacer visible, ordenada y trazable la ayuda que permite a familias afectadas recuperar condiciones dignas de vivienda después de un desastre. Su primer escenario de uso es la reconstrucción de hogares vulnerables en Colombia tras una emergencia, con una arquitectura y un lenguaje que puedan adaptarse a futuras emergencias y territorios.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Visión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Que una persona o familia con una necesidad real de reconstrucción pueda encontrar apoyo confiable sin depender únicamente de redes informales, y que quien quiera aportar materiales, tiempo, mano de obra, conocimiento o enseres pueda hacerlo con contexto suficiente, contacto directo y una constancia transparente del resultado.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Propósito del MVP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Conectar solicitudes verificables de ayuda para vivienda con ofertas de apoyo voluntario, facilitando el contacto entre las partes y registrando, de forma simple, la evidencia de que una contribución fue recibida.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3. Problema que se busca resolver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Después de un desastre, las necesidades de reconstrucción se distribuyen de forma desigual y cambian rápidamente. Las familias afectadas suelen depender de mensajes dispersos, intermediarios informales y contactos limitados. Al mismo tiempo, donantes y voluntarios quieren ayudar, pero carecen de información estructurada para distinguir prioridades, coordinar entregas y conocer qué ocurrió con su aporte.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Las solicitudes y ofertas están fragmentadas entre redes sociales, chats y organizaciones con información incompleta.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La falta de contexto, ubicación aproximada y evidencia genera desconfianza y riesgo de fraude o duplicación de ayudas.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El contacto y la coordinación de entregas consumen tiempo crítico para personas afectadas y donantes.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No existe una historia compartida que muestre qué apoyo recibió cada hogar ni qué necesidades siguen pendientes.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4. Objetivos del producto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Objetivos del MVP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Publicar solicitudes claras de apoyo relacionadas con pérdida parcial o total de vivienda y enseres esenciales.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Permitir que personas, cuadrillas, profesionales y organizaciones publiquen ofertas de materiales, mano de obra, conocimiento o artículos para el hogar.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Habilitar contacto voluntario y directo mediante canales acordados por cada usuario, inicialmente WhatsApp.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Registrar aportes recibidos y generar una línea de tiempo visible para evitar duplicación y dar transparencia.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Incorporar señales de verificación y advertencias de seguridad sin presentar la plataforma como garante de las partes.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Objetivos de aprendizaje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Validar si las personas afectadas pueden crear y actualizar solicitudes con acompañamiento mínimo.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Identificar qué datos y señales de confianza permiten a donantes decidir con responsabilidad.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Medir si el registro de constancias reduce incertidumbre y mejora la coordinación.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Definir qué aliados locales deben participar para una verificación sostenible y justa.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5. Stakeholders y roles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39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Stakeholder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Interés principal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Rol esperado en el MVP</w:t>
            </w:r>
          </w:p>
        </w:tc>
      </w:tr>
      <w:tr>
        <w:tc>
          <w:tcPr>
            <w:tcW w:type="dxa" w:w="2100"/>
            <w:vAlign w:val="top"/>
          </w:tcPr>
          <w:p>
            <w:r>
              <w:rPr>
                <w:rFonts w:ascii="Calibri" w:hAnsi="Calibri"/>
                <w:b w:val="0"/>
                <w:i w:val="0"/>
              </w:rPr>
              <w:t>Hogares afectados</w:t>
            </w:r>
          </w:p>
        </w:tc>
        <w:tc>
          <w:tcPr>
            <w:tcW w:type="dxa" w:w="3300"/>
            <w:vAlign w:val="top"/>
          </w:tcPr>
          <w:p>
            <w:r>
              <w:rPr>
                <w:rFonts w:ascii="Calibri" w:hAnsi="Calibri"/>
                <w:b w:val="0"/>
                <w:i w:val="0"/>
              </w:rPr>
              <w:t>Acceso digno y oportuno a ayuda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</w:rPr>
              <w:t>Crear solicitudes, indicar necesidades y confirmar recepción.</w:t>
            </w:r>
          </w:p>
        </w:tc>
      </w:tr>
      <w:tr>
        <w:tc>
          <w:tcPr>
            <w:tcW w:type="dxa" w:w="2100"/>
            <w:vAlign w:val="top"/>
          </w:tcPr>
          <w:p>
            <w:r>
              <w:rPr>
                <w:rFonts w:ascii="Calibri" w:hAnsi="Calibri"/>
                <w:b w:val="0"/>
                <w:i w:val="0"/>
              </w:rPr>
              <w:t>Donantes y voluntarios</w:t>
            </w:r>
          </w:p>
        </w:tc>
        <w:tc>
          <w:tcPr>
            <w:tcW w:type="dxa" w:w="3300"/>
            <w:vAlign w:val="top"/>
          </w:tcPr>
          <w:p>
            <w:r>
              <w:rPr>
                <w:rFonts w:ascii="Calibri" w:hAnsi="Calibri"/>
                <w:b w:val="0"/>
                <w:i w:val="0"/>
              </w:rPr>
              <w:t>Aportar de forma útil y segura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</w:rPr>
              <w:t>Publicar ofertas, contactar, coordinar y registrar constancias.</w:t>
            </w:r>
          </w:p>
        </w:tc>
      </w:tr>
      <w:tr>
        <w:tc>
          <w:tcPr>
            <w:tcW w:type="dxa" w:w="2100"/>
            <w:vAlign w:val="top"/>
          </w:tcPr>
          <w:p>
            <w:r>
              <w:rPr>
                <w:rFonts w:ascii="Calibri" w:hAnsi="Calibri"/>
                <w:b w:val="0"/>
                <w:i w:val="0"/>
              </w:rPr>
              <w:t>Maestros de obra y profesionales</w:t>
            </w:r>
          </w:p>
        </w:tc>
        <w:tc>
          <w:tcPr>
            <w:tcW w:type="dxa" w:w="3300"/>
            <w:vAlign w:val="top"/>
          </w:tcPr>
          <w:p>
            <w:r>
              <w:rPr>
                <w:rFonts w:ascii="Calibri" w:hAnsi="Calibri"/>
                <w:b w:val="0"/>
                <w:i w:val="0"/>
              </w:rPr>
              <w:t>Ofrecer capacidad técnica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</w:rPr>
              <w:t>Ofertar mano de obra, asesoría o revisión técnica voluntaria.</w:t>
            </w:r>
          </w:p>
        </w:tc>
      </w:tr>
      <w:tr>
        <w:tc>
          <w:tcPr>
            <w:tcW w:type="dxa" w:w="2100"/>
            <w:vAlign w:val="top"/>
          </w:tcPr>
          <w:p>
            <w:r>
              <w:rPr>
                <w:rFonts w:ascii="Calibri" w:hAnsi="Calibri"/>
                <w:b w:val="0"/>
                <w:i w:val="0"/>
              </w:rPr>
              <w:t>Organizaciones locales</w:t>
            </w:r>
          </w:p>
        </w:tc>
        <w:tc>
          <w:tcPr>
            <w:tcW w:type="dxa" w:w="3300"/>
            <w:vAlign w:val="top"/>
          </w:tcPr>
          <w:p>
            <w:r>
              <w:rPr>
                <w:rFonts w:ascii="Calibri" w:hAnsi="Calibri"/>
                <w:b w:val="0"/>
                <w:i w:val="0"/>
              </w:rPr>
              <w:t>Priorizar y proteger a la comunidad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</w:rPr>
              <w:t>Apoyar validación, difusión y acompañamiento de casos.</w:t>
            </w:r>
          </w:p>
        </w:tc>
      </w:tr>
      <w:tr>
        <w:tc>
          <w:tcPr>
            <w:tcW w:type="dxa" w:w="2100"/>
            <w:vAlign w:val="top"/>
          </w:tcPr>
          <w:p>
            <w:r>
              <w:rPr>
                <w:rFonts w:ascii="Calibri" w:hAnsi="Calibri"/>
                <w:b w:val="0"/>
                <w:i w:val="0"/>
              </w:rPr>
              <w:t>Equipo promotor de Reconstruye</w:t>
            </w:r>
          </w:p>
        </w:tc>
        <w:tc>
          <w:tcPr>
            <w:tcW w:type="dxa" w:w="3300"/>
            <w:vAlign w:val="top"/>
          </w:tcPr>
          <w:p>
            <w:r>
              <w:rPr>
                <w:rFonts w:ascii="Calibri" w:hAnsi="Calibri"/>
                <w:b w:val="0"/>
                <w:i w:val="0"/>
              </w:rPr>
              <w:t>Impacto, seguridad y continuidad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</w:rPr>
              <w:t>Definir reglas, moderar contenido y gestionar el producto.</w:t>
            </w:r>
          </w:p>
        </w:tc>
      </w:tr>
      <w:tr>
        <w:tc>
          <w:tcPr>
            <w:tcW w:type="dxa" w:w="2100"/>
            <w:vAlign w:val="top"/>
          </w:tcPr>
          <w:p>
            <w:r>
              <w:rPr>
                <w:rFonts w:ascii="Calibri" w:hAnsi="Calibri"/>
                <w:b w:val="0"/>
                <w:i w:val="0"/>
              </w:rPr>
              <w:t>Entidades públicas y de gestión del riesgo</w:t>
            </w:r>
          </w:p>
        </w:tc>
        <w:tc>
          <w:tcPr>
            <w:tcW w:type="dxa" w:w="3300"/>
            <w:vAlign w:val="top"/>
          </w:tcPr>
          <w:p>
            <w:r>
              <w:rPr>
                <w:rFonts w:ascii="Calibri" w:hAnsi="Calibri"/>
                <w:b w:val="0"/>
                <w:i w:val="0"/>
              </w:rPr>
              <w:t>Coordinación territorial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</w:rPr>
              <w:t>Potenciales aliadas; no dependen del MVP para operar.</w:t>
            </w:r>
          </w:p>
        </w:tc>
      </w:tr>
    </w:tbl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6. Propuesta de valor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Para hogares afectados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Un lugar único para expresar una necesidad de reconstrucción de manera comprensible, recibir contactos de ayuda y conservar una historia de los aportes recibidos.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Para donantes y voluntarios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Un muro de necesidades contextualizadas que ayuda a elegir cómo aportar, contactar directamente y dejar una constancia visible de la contribución.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Para aliados comunitarios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Una herramienta liviana para orientar casos, reconocer necesidades pendientes y aportar señales de verificación sin sustituir sus procesos institucionales.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7. Alcance funcional del MVP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El MVP prioriza la coordinación y la transparencia básica. Cada capacidad deberá diseñarse para teléfonos móviles de conectividad variable y para personas con distintos niveles de alfabetización digital.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Capacidad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Incluido en el MVP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Registro y perfiles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b w:val="0"/>
                <w:i w:val="0"/>
              </w:rPr>
              <w:t>Perfiles simples para personas afectadas, donantes, voluntarios y organizaciones; datos mínimos y preferencias de contacto.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Solicitudes de ayuda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b w:val="0"/>
                <w:i w:val="0"/>
              </w:rPr>
              <w:t>Creación, edición y cierre de solicitudes para materiales, mano de obra, asesoría técnica y enseres; con categoría, descripción, municipio/barrio aproximado, urgencia y fotos opcionales.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Ofertas de apoyo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b w:val="0"/>
                <w:i w:val="0"/>
              </w:rPr>
              <w:t>Publicación de disponibilidad de materiales, trabajo voluntario, conocimiento o artículos, indicando condiciones y zona de cobertura.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Muro de oportunidades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b w:val="0"/>
                <w:i w:val="0"/>
              </w:rPr>
              <w:t>Exploración y filtros básicos por tipo de ayuda, territorio aproximado, estado y urgencia.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Contacto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b w:val="0"/>
                <w:i w:val="0"/>
              </w:rPr>
              <w:t>Enlace controlado al canal elegido por cada parte, inicialmente WhatsApp; la coordinación ocurre fuera de la plataforma.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Constancia e historial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b w:val="0"/>
                <w:i w:val="0"/>
              </w:rPr>
              <w:t>Registro de una contribución como ofrecida, coordinada o recibida; posibilidad de adjuntar una nota o evidencia y visualización en la historia del caso.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Señales de confianza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b w:val="0"/>
                <w:i w:val="0"/>
              </w:rPr>
              <w:t>Estados de perfil y caso como pendiente, con información validada por aliado o reportado; nunca equivalen a una garantía.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Seguridad y moderación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b w:val="0"/>
                <w:i w:val="0"/>
              </w:rPr>
              <w:t>Avisos claros, reporte de contenido o perfiles y capacidad operativa de ocultar publicaciones problemáticas.</w:t>
            </w:r>
          </w:p>
        </w:tc>
      </w:tr>
    </w:tbl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8. Fuera de alcance del MVP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Procesamiento de donaciones monetarias, pagos, custodia de fondos o emisión de certificados tributarios.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Entrega, transporte, almacenamiento, inventario o distribución física de materiales.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Contratación laboral, garantía de calidad de obra, licenciamiento, dirección técnica o responsabilidad por seguridad en obra.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Verificación de identidad estatal o antecedentes como requisito universal; se evaluará con aliados antes de incorporarla.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Garantía de que una solicitud, donante, oferta o evidencia sea auténtica, completa o segura.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Atención de emergencias vitales, rescate, alojamiento temporal o reemplazo de canales oficiales de socorro.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Algoritmos de priorización automática, calificaciones públicas entre usuarios o integraciones complejas con entidades públicas.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9. Métricas de éxito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Las métricas se revisarán por cohorte territorial y sin incentivar que las personas revelen más datos personales de los necesarios. Durante la prueba inicial, importan tanto la utilidad como la seguridad.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960"/>
        <w:gridCol w:w="270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Dimensión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Indicador propuesto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Señal de éxito inicial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i w:val="0"/>
              </w:rPr>
              <w:t>Activación</w:t>
            </w:r>
          </w:p>
        </w:tc>
        <w:tc>
          <w:tcPr>
            <w:tcW w:type="dxa" w:w="3960"/>
          </w:tcPr>
          <w:p>
            <w:r>
              <w:rPr>
                <w:rFonts w:ascii="Calibri" w:hAnsi="Calibri"/>
                <w:b w:val="0"/>
                <w:i w:val="0"/>
              </w:rPr>
              <w:t>Solicitudes publicadas con información mínima completa</w:t>
            </w:r>
          </w:p>
        </w:tc>
        <w:tc>
          <w:tcPr>
            <w:tcW w:type="dxa" w:w="2700"/>
          </w:tcPr>
          <w:p>
            <w:r>
              <w:rPr>
                <w:rFonts w:ascii="Calibri" w:hAnsi="Calibri"/>
                <w:b w:val="0"/>
                <w:i w:val="0"/>
              </w:rPr>
              <w:t>≥ 60% de borradores completados.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i w:val="0"/>
              </w:rPr>
              <w:t>Conexión</w:t>
            </w:r>
          </w:p>
        </w:tc>
        <w:tc>
          <w:tcPr>
            <w:tcW w:type="dxa" w:w="3960"/>
          </w:tcPr>
          <w:p>
            <w:r>
              <w:rPr>
                <w:rFonts w:ascii="Calibri" w:hAnsi="Calibri"/>
                <w:b w:val="0"/>
                <w:i w:val="0"/>
              </w:rPr>
              <w:t>Solicitudes que reciben al menos un contacto</w:t>
            </w:r>
          </w:p>
        </w:tc>
        <w:tc>
          <w:tcPr>
            <w:tcW w:type="dxa" w:w="2700"/>
          </w:tcPr>
          <w:p>
            <w:r>
              <w:rPr>
                <w:rFonts w:ascii="Calibri" w:hAnsi="Calibri"/>
                <w:b w:val="0"/>
                <w:i w:val="0"/>
              </w:rPr>
              <w:t>≥ 40% en el periodo piloto.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i w:val="0"/>
              </w:rPr>
              <w:t>Resultado</w:t>
            </w:r>
          </w:p>
        </w:tc>
        <w:tc>
          <w:tcPr>
            <w:tcW w:type="dxa" w:w="3960"/>
          </w:tcPr>
          <w:p>
            <w:r>
              <w:rPr>
                <w:rFonts w:ascii="Calibri" w:hAnsi="Calibri"/>
                <w:b w:val="0"/>
                <w:i w:val="0"/>
              </w:rPr>
              <w:t>Contribuciones marcadas como recibidas</w:t>
            </w:r>
          </w:p>
        </w:tc>
        <w:tc>
          <w:tcPr>
            <w:tcW w:type="dxa" w:w="2700"/>
          </w:tcPr>
          <w:p>
            <w:r>
              <w:rPr>
                <w:rFonts w:ascii="Calibri" w:hAnsi="Calibri"/>
                <w:b w:val="0"/>
                <w:i w:val="0"/>
              </w:rPr>
              <w:t>Medir tendencia; meta se define tras línea base.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i w:val="0"/>
              </w:rPr>
              <w:t>Transparencia</w:t>
            </w:r>
          </w:p>
        </w:tc>
        <w:tc>
          <w:tcPr>
            <w:tcW w:type="dxa" w:w="3960"/>
          </w:tcPr>
          <w:p>
            <w:r>
              <w:rPr>
                <w:rFonts w:ascii="Calibri" w:hAnsi="Calibri"/>
                <w:b w:val="0"/>
                <w:i w:val="0"/>
              </w:rPr>
              <w:t>Casos con historial actualizado tras una contribución</w:t>
            </w:r>
          </w:p>
        </w:tc>
        <w:tc>
          <w:tcPr>
            <w:tcW w:type="dxa" w:w="2700"/>
          </w:tcPr>
          <w:p>
            <w:r>
              <w:rPr>
                <w:rFonts w:ascii="Calibri" w:hAnsi="Calibri"/>
                <w:b w:val="0"/>
                <w:i w:val="0"/>
              </w:rPr>
              <w:t>≥ 70% de contribuciones registradas.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i w:val="0"/>
              </w:rPr>
              <w:t>Confianza</w:t>
            </w:r>
          </w:p>
        </w:tc>
        <w:tc>
          <w:tcPr>
            <w:tcW w:type="dxa" w:w="3960"/>
          </w:tcPr>
          <w:p>
            <w:r>
              <w:rPr>
                <w:rFonts w:ascii="Calibri" w:hAnsi="Calibri"/>
                <w:b w:val="0"/>
                <w:i w:val="0"/>
              </w:rPr>
              <w:t>Usuarios que reportan entender advertencias y límites</w:t>
            </w:r>
          </w:p>
        </w:tc>
        <w:tc>
          <w:tcPr>
            <w:tcW w:type="dxa" w:w="2700"/>
          </w:tcPr>
          <w:p>
            <w:r>
              <w:rPr>
                <w:rFonts w:ascii="Calibri" w:hAnsi="Calibri"/>
                <w:b w:val="0"/>
                <w:i w:val="0"/>
              </w:rPr>
              <w:t>≥ 80% en encuesta breve.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i w:val="0"/>
              </w:rPr>
              <w:t>Seguridad</w:t>
            </w:r>
          </w:p>
        </w:tc>
        <w:tc>
          <w:tcPr>
            <w:tcW w:type="dxa" w:w="3960"/>
          </w:tcPr>
          <w:p>
            <w:r>
              <w:rPr>
                <w:rFonts w:ascii="Calibri" w:hAnsi="Calibri"/>
                <w:b w:val="0"/>
                <w:i w:val="0"/>
              </w:rPr>
              <w:t>Reportes críticos atendidos según protocolo</w:t>
            </w:r>
          </w:p>
        </w:tc>
        <w:tc>
          <w:tcPr>
            <w:tcW w:type="dxa" w:w="2700"/>
          </w:tcPr>
          <w:p>
            <w:r>
              <w:rPr>
                <w:rFonts w:ascii="Calibri" w:hAnsi="Calibri"/>
                <w:b w:val="0"/>
                <w:i w:val="0"/>
              </w:rPr>
              <w:t>100% revisados dentro del acuerdo operativo.</w:t>
            </w:r>
          </w:p>
        </w:tc>
      </w:tr>
    </w:tbl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10. Restricciones y supuestos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Restricciones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El MVP debe minimizar la recolección de datos sensibles y ofrecer controles claros de visibilidad y contacto.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Debe ser utilizable prioritariamente desde móvil, con lenguaje claro en español y tolerancia a conectividad limitada.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La plataforma no debe inducir una falsa sensación de verificación, seguridad o cobertura institucional.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La moderación requerirá capacidad humana y criterios publicados; no se debe depender solamente de automatización.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Se deben revisar obligaciones aplicables de protección de datos, protección al consumidor y gestión de riesgos antes del lanzamiento público.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Supuestos a validar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Existirán aliados territoriales dispuestos a orientar o validar ciertos casos bajo reglas claras.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WhatsApp es un canal aceptable para la mayoría de las primeras coordinaciones, sin exponer números hasta que el usuario lo elija.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Las personas afectadas podrán contar con apoyo de familiares, líderes comunitarios u organizaciones para crear publicaciones cuando lo necesiten.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La unidad de valor del MVP es la conexión trazable, no la transacción ni la logística.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11. Principios de diseño de producto</w:t>
      </w:r>
    </w:p>
    <w:p>
      <w:pPr>
        <w:spacing w:after="100"/>
      </w:pPr>
      <w:r>
        <w:rPr>
          <w:rFonts w:ascii="Calibri" w:hAnsi="Calibri"/>
          <w:b/>
          <w:i w:val="0"/>
          <w:color w:val="0B2545"/>
        </w:rPr>
        <w:t xml:space="preserve">Dignidad antes que exposición: </w:t>
      </w:r>
      <w:r>
        <w:rPr>
          <w:rFonts w:ascii="Calibri" w:hAnsi="Calibri"/>
          <w:b w:val="0"/>
          <w:i w:val="0"/>
        </w:rPr>
        <w:t>Solicitar solo la información necesaria; las personas no deben tener que exhibir su sufrimiento para recibir ayuda.</w:t>
      </w:r>
    </w:p>
    <w:p>
      <w:pPr>
        <w:spacing w:after="100"/>
      </w:pPr>
      <w:r>
        <w:rPr>
          <w:rFonts w:ascii="Calibri" w:hAnsi="Calibri"/>
          <w:b/>
          <w:i w:val="0"/>
          <w:color w:val="0B2545"/>
        </w:rPr>
        <w:t xml:space="preserve">Seguridad por defecto: </w:t>
      </w:r>
      <w:r>
        <w:rPr>
          <w:rFonts w:ascii="Calibri" w:hAnsi="Calibri"/>
          <w:b w:val="0"/>
          <w:i w:val="0"/>
        </w:rPr>
        <w:t>Reducir exposición de datos, incluir advertencias en el momento de riesgo y hacer visible cómo reportar una situación.</w:t>
      </w:r>
    </w:p>
    <w:p>
      <w:pPr>
        <w:spacing w:after="100"/>
      </w:pPr>
      <w:r>
        <w:rPr>
          <w:rFonts w:ascii="Calibri" w:hAnsi="Calibri"/>
          <w:b/>
          <w:i w:val="0"/>
          <w:color w:val="0B2545"/>
        </w:rPr>
        <w:t xml:space="preserve">Transparencia sin promesas: </w:t>
      </w:r>
      <w:r>
        <w:rPr>
          <w:rFonts w:ascii="Calibri" w:hAnsi="Calibri"/>
          <w:b w:val="0"/>
          <w:i w:val="0"/>
        </w:rPr>
        <w:t>Mostrar el estado y la evidencia disponible, diferenciando claramente entre dato declarado, validación de aliado y constancia de entrega.</w:t>
      </w:r>
    </w:p>
    <w:p>
      <w:pPr>
        <w:spacing w:after="100"/>
      </w:pPr>
      <w:r>
        <w:rPr>
          <w:rFonts w:ascii="Calibri" w:hAnsi="Calibri"/>
          <w:b/>
          <w:i w:val="0"/>
          <w:color w:val="0B2545"/>
        </w:rPr>
        <w:t xml:space="preserve">Accesibilidad práctica: </w:t>
      </w:r>
      <w:r>
        <w:rPr>
          <w:rFonts w:ascii="Calibri" w:hAnsi="Calibri"/>
          <w:b w:val="0"/>
          <w:i w:val="0"/>
        </w:rPr>
        <w:t>Diseñar para móvil, lenguaje sencillo, pocos pasos, baja conectividad y asistencia de terceros autorizados.</w:t>
      </w:r>
    </w:p>
    <w:p>
      <w:pPr>
        <w:spacing w:after="100"/>
      </w:pPr>
      <w:r>
        <w:rPr>
          <w:rFonts w:ascii="Calibri" w:hAnsi="Calibri"/>
          <w:b/>
          <w:i w:val="0"/>
          <w:color w:val="0B2545"/>
        </w:rPr>
        <w:t xml:space="preserve">Control de las personas: </w:t>
      </w:r>
      <w:r>
        <w:rPr>
          <w:rFonts w:ascii="Calibri" w:hAnsi="Calibri"/>
          <w:b w:val="0"/>
          <w:i w:val="0"/>
        </w:rPr>
        <w:t>Cada parte decide si publica, comparte contacto, actualiza información o cierra una solicitud.</w:t>
      </w:r>
    </w:p>
    <w:p>
      <w:pPr>
        <w:spacing w:after="100"/>
      </w:pPr>
      <w:r>
        <w:rPr>
          <w:rFonts w:ascii="Calibri" w:hAnsi="Calibri"/>
          <w:b/>
          <w:i w:val="0"/>
          <w:color w:val="0B2545"/>
        </w:rPr>
        <w:t xml:space="preserve">Neutralidad y equidad: </w:t>
      </w:r>
      <w:r>
        <w:rPr>
          <w:rFonts w:ascii="Calibri" w:hAnsi="Calibri"/>
          <w:b w:val="0"/>
          <w:i w:val="0"/>
        </w:rPr>
        <w:t>No privilegiar casos por popularidad; cualquier priorización futura debe ser explicable, revisable y acompañada de aliados.</w:t>
      </w:r>
    </w:p>
    <w:p>
      <w:pPr>
        <w:spacing w:after="100"/>
      </w:pPr>
      <w:r>
        <w:rPr>
          <w:rFonts w:ascii="Calibri" w:hAnsi="Calibri"/>
          <w:b/>
          <w:i w:val="0"/>
          <w:color w:val="0B2545"/>
        </w:rPr>
        <w:t xml:space="preserve">Aprendizaje responsable: </w:t>
      </w:r>
      <w:r>
        <w:rPr>
          <w:rFonts w:ascii="Calibri" w:hAnsi="Calibri"/>
          <w:b w:val="0"/>
          <w:i w:val="0"/>
        </w:rPr>
        <w:t>Lanzar en un territorio acotado, medir daño potencial y ajustar antes de escalar.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12. Riesgos principales y tratamiento inicial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000"/>
        <w:gridCol w:w="3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Riesgo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Posible impacto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Tratamiento inicial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b w:val="0"/>
                <w:i w:val="0"/>
              </w:rPr>
              <w:t>Fraude, suplantación o robo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b w:val="0"/>
                <w:i w:val="0"/>
              </w:rPr>
              <w:t>Daño económico, físico o emocional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</w:rPr>
              <w:t>Advertencias, mínima exposición de datos, reportes, moderación y validación opcional por aliados.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b w:val="0"/>
                <w:i w:val="0"/>
              </w:rPr>
              <w:t>Duplicación o distribución inequitativa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b w:val="0"/>
                <w:i w:val="0"/>
              </w:rPr>
              <w:t>Pérdida de confianza y recursos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</w:rPr>
              <w:t>Historial de constancias, actualización de estados y reglas públicas de visibilidad.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b w:val="0"/>
                <w:i w:val="0"/>
              </w:rPr>
              <w:t>Información sensible expuesta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b w:val="0"/>
                <w:i w:val="0"/>
              </w:rPr>
              <w:t>Riesgo para hogares vulnerables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</w:rPr>
              <w:t>Privacidad por defecto, ubicación aproximada y consentimiento explícito para contacto.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b w:val="0"/>
                <w:i w:val="0"/>
              </w:rPr>
              <w:t>Expectativas excesivas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b w:val="0"/>
                <w:i w:val="0"/>
              </w:rPr>
              <w:t>Atribución indebida de responsabilidad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</w:rPr>
              <w:t>Mensajes claros: Reconstruye conecta; no entrega, garantiza ni supervisa aportes.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b w:val="0"/>
                <w:i w:val="0"/>
              </w:rPr>
              <w:t>Baja adopción o exclusión digital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b w:val="0"/>
                <w:i w:val="0"/>
              </w:rPr>
              <w:t>Impacto limitado o desigual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</w:rPr>
              <w:t>Piloto acompañado, flujos simples y apoyo de organizaciones comunitarias.</w:t>
            </w:r>
          </w:p>
        </w:tc>
      </w:tr>
    </w:tbl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13. Decisiones pendientes para el futuro SRS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Las siguientes definiciones deberán convertirse en requisitos, políticas y criterios de aceptación antes de construir o lanzar una versión pública: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Territorio del piloto, población objetivo y organizaciones aliadas responsables de acompañamiento.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Datos obligatorios, niveles de visibilidad, consentimiento y política de retención de información.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Definición exacta de los niveles de verificación, evidencias admisibles y responsables de validarlas.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Flujo de reporte, moderación, apelación y respuesta ante riesgos de seguridad.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Criterios de prioridad, si se habilitan, y mecanismos de auditoría contra sesgos o favoritismos.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Responsabilidades legales, términos de uso, política de privacidad y protocolos de incidentes.</w:t>
      </w:r>
    </w:p>
    <w:p>
      <w:pPr>
        <w:pStyle w:val="ListBullet"/>
        <w:spacing w:after="100" w:line="280" w:lineRule="auto"/>
      </w:pPr>
      <w:r>
        <w:rPr>
          <w:rFonts w:ascii="Calibri" w:hAnsi="Calibri"/>
          <w:b w:val="0"/>
          <w:i w:val="0"/>
        </w:rPr>
        <w:t>Alcance del canal de contacto y controles para prevenir spam, acoso o divulgación indebida.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14. Declaración de alcance del MVP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Reconstruye MVP será una plataforma móvil para publicar, descubrir y conectar solicitudes y ofertas de ayuda no monetaria relacionadas con la reconstrucción de vivienda y enseres esenciales. Facilitará el contacto voluntario entre las partes y mantendrá una historia simple de contribuciones reportadas, con advertencias, reportes y señales de confianza limitadas. No gestionará dinero, logística, contratos ni garantías sobre las personas, los bienes o las obras.</w:t>
      </w:r>
    </w:p>
    <w:p>
      <w:pPr>
        <w:spacing w:after="120" w:line="264" w:lineRule="auto"/>
      </w:pPr>
      <w:r>
        <w:rPr>
          <w:rFonts w:ascii="Calibri" w:hAnsi="Calibri"/>
          <w:b w:val="0"/>
          <w:i/>
        </w:rPr>
        <w:t>La preparación del SRS deberá usar esta declaración como límite de alcance, convirtiendo sus capacidades y decisiones pendientes en requisitos verificables, historias de usuario, reglas de negocio, datos, flujos de excepción y criterios de aceptación.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B6770"/>
        <w:sz w:val="17"/>
      </w:rPr>
      <w:t>Documento base para el futuro SRS  |  Versión 0.1  | 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B6770"/>
        <w:sz w:val="17"/>
      </w:rPr>
      <w:t>RECONSTRUYE  |  VISIÓN DE PRODUCTO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Visión del Producto y Alcance del MVP - Reconstruye</dc:title>
  <dc:subject>Documento base para el futuro SRS</dc:subject>
  <dc:creator>Reconstruye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