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Задача </w:t>
      </w:r>
      <w:r>
        <w:rPr>
          <w:rtl w:val="0"/>
        </w:rPr>
        <w:t>8.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1.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ыли исследованы интервалы между стимулами </w:t>
      </w:r>
      <w:r>
        <w:rPr>
          <w:rtl w:val="0"/>
        </w:rPr>
        <w:t xml:space="preserve">(ISI) 175 </w:t>
      </w:r>
      <w:r>
        <w:rPr>
          <w:rtl w:val="0"/>
          <w:lang w:val="ru-RU"/>
        </w:rPr>
        <w:t xml:space="preserve">мс и </w:t>
      </w:r>
      <w:r>
        <w:rPr>
          <w:rtl w:val="0"/>
        </w:rPr>
        <w:t xml:space="preserve">350 </w:t>
      </w:r>
      <w:r>
        <w:rPr>
          <w:rtl w:val="0"/>
        </w:rPr>
        <w:t>мс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размеры матрицы </w:t>
      </w:r>
      <w:r>
        <w:rPr>
          <w:rtl w:val="0"/>
        </w:rPr>
        <w:t xml:space="preserve">3x3 </w:t>
      </w:r>
      <w:r>
        <w:rPr>
          <w:rtl w:val="0"/>
        </w:rPr>
        <w:t xml:space="preserve">и </w:t>
      </w:r>
      <w:r>
        <w:rPr>
          <w:rtl w:val="0"/>
        </w:rPr>
        <w:t>6x6.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2.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Для матрицы </w:t>
      </w:r>
      <w:r>
        <w:rPr>
          <w:rtl w:val="0"/>
        </w:rPr>
        <w:t xml:space="preserve">6x6. </w:t>
      </w:r>
      <w:r>
        <w:rPr>
          <w:rtl w:val="0"/>
          <w:lang w:val="ru-RU"/>
        </w:rPr>
        <w:t xml:space="preserve">Она отображала значительно большую амплитуду </w:t>
      </w:r>
      <w:r>
        <w:rPr>
          <w:rtl w:val="0"/>
        </w:rPr>
        <w:t xml:space="preserve">P300, </w:t>
      </w:r>
      <w:r>
        <w:rPr>
          <w:rtl w:val="0"/>
          <w:lang w:val="ru-RU"/>
        </w:rPr>
        <w:t>когда данные были усреднены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3.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максимальная скорость «передачи данных» была достигнута на матрице </w:t>
      </w:r>
      <w:r>
        <w:rPr>
          <w:rtl w:val="0"/>
        </w:rPr>
        <w:t xml:space="preserve">6x6 </w:t>
      </w:r>
      <w:r>
        <w:rPr>
          <w:rtl w:val="0"/>
          <w:lang w:val="ru-RU"/>
        </w:rPr>
        <w:t xml:space="preserve">при условии </w:t>
      </w:r>
      <w:r>
        <w:rPr>
          <w:rtl w:val="0"/>
          <w:lang w:val="en-US"/>
        </w:rPr>
        <w:t xml:space="preserve">ISI 175 </w:t>
      </w:r>
      <w:r>
        <w:rPr>
          <w:rtl w:val="0"/>
        </w:rPr>
        <w:t>мс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4.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Исследование показало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более короткий </w:t>
      </w:r>
      <w:r>
        <w:rPr>
          <w:rtl w:val="0"/>
          <w:lang w:val="en-US"/>
        </w:rPr>
        <w:t xml:space="preserve">ISI </w:t>
      </w:r>
      <w:r>
        <w:rPr>
          <w:rtl w:val="0"/>
          <w:lang w:val="ru-RU"/>
        </w:rPr>
        <w:t>(</w:t>
      </w:r>
      <w:r>
        <w:rPr>
          <w:rtl w:val="0"/>
        </w:rPr>
        <w:t xml:space="preserve">175 </w:t>
      </w:r>
      <w:r>
        <w:rPr>
          <w:rtl w:val="0"/>
        </w:rPr>
        <w:t>мс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приводит к более высокой точности классификации по сравнению с более длинным </w:t>
      </w:r>
      <w:r>
        <w:rPr>
          <w:rtl w:val="0"/>
        </w:rPr>
        <w:t xml:space="preserve">ISI (350 </w:t>
      </w:r>
      <w:r>
        <w:rPr>
          <w:rtl w:val="0"/>
        </w:rPr>
        <w:t>мс</w:t>
      </w:r>
      <w:r>
        <w:rPr>
          <w:rtl w:val="0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