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5D" w:rsidRDefault="00D20B5D" w:rsidP="00DF4065">
      <w:pPr>
        <w:pStyle w:val="Header"/>
        <w:jc w:val="center"/>
        <w:rPr>
          <w:rFonts w:ascii="Arial" w:hAnsi="Arial" w:cs="Arial"/>
          <w:sz w:val="28"/>
          <w:szCs w:val="28"/>
        </w:rPr>
      </w:pPr>
    </w:p>
    <w:p w:rsidR="00D20B5D" w:rsidRDefault="00D20B5D" w:rsidP="00DF4065">
      <w:pPr>
        <w:pStyle w:val="Header"/>
        <w:jc w:val="center"/>
        <w:rPr>
          <w:rFonts w:ascii="Arial" w:hAnsi="Arial" w:cs="Arial"/>
          <w:sz w:val="28"/>
          <w:szCs w:val="28"/>
        </w:rPr>
      </w:pPr>
    </w:p>
    <w:p w:rsidR="00D20B5D" w:rsidRDefault="00D20B5D" w:rsidP="00DF4065">
      <w:pPr>
        <w:pStyle w:val="Header"/>
        <w:jc w:val="center"/>
        <w:rPr>
          <w:rFonts w:ascii="Arial" w:hAnsi="Arial" w:cs="Arial"/>
          <w:sz w:val="28"/>
          <w:szCs w:val="28"/>
        </w:rPr>
      </w:pPr>
    </w:p>
    <w:p w:rsidR="00931E0C" w:rsidRDefault="0027014B" w:rsidP="00DD63F5">
      <w:pPr>
        <w:pStyle w:val="Header"/>
        <w:jc w:val="center"/>
        <w:rPr>
          <w:rFonts w:ascii="Arial" w:hAnsi="Arial" w:cs="Arial"/>
          <w:sz w:val="28"/>
          <w:szCs w:val="28"/>
        </w:rPr>
      </w:pPr>
      <w:r>
        <w:rPr>
          <w:rFonts w:ascii="Arial" w:hAnsi="Arial" w:cs="Arial"/>
          <w:sz w:val="28"/>
          <w:szCs w:val="28"/>
        </w:rPr>
        <w:t xml:space="preserve">Population and </w:t>
      </w:r>
      <w:r w:rsidR="002634E4">
        <w:rPr>
          <w:rFonts w:ascii="Arial" w:hAnsi="Arial" w:cs="Arial"/>
          <w:sz w:val="28"/>
          <w:szCs w:val="28"/>
        </w:rPr>
        <w:t>Po</w:t>
      </w:r>
      <w:r w:rsidR="00360B3F">
        <w:rPr>
          <w:rFonts w:ascii="Arial" w:hAnsi="Arial" w:cs="Arial"/>
          <w:sz w:val="28"/>
          <w:szCs w:val="28"/>
        </w:rPr>
        <w:t>verty</w:t>
      </w:r>
      <w:r w:rsidR="00931E0C">
        <w:rPr>
          <w:rFonts w:ascii="Arial" w:hAnsi="Arial" w:cs="Arial"/>
          <w:sz w:val="28"/>
          <w:szCs w:val="28"/>
        </w:rPr>
        <w:t xml:space="preserve"> Estimates</w:t>
      </w:r>
      <w:r w:rsidR="002634E4">
        <w:rPr>
          <w:rFonts w:ascii="Arial" w:hAnsi="Arial" w:cs="Arial"/>
          <w:sz w:val="28"/>
          <w:szCs w:val="28"/>
        </w:rPr>
        <w:t xml:space="preserve"> </w:t>
      </w:r>
      <w:r w:rsidR="00360B3F">
        <w:rPr>
          <w:rFonts w:ascii="Arial" w:hAnsi="Arial" w:cs="Arial"/>
          <w:sz w:val="28"/>
          <w:szCs w:val="28"/>
        </w:rPr>
        <w:t>for</w:t>
      </w:r>
      <w:r w:rsidR="002634E4">
        <w:rPr>
          <w:rFonts w:ascii="Arial" w:hAnsi="Arial" w:cs="Arial"/>
          <w:sz w:val="28"/>
          <w:szCs w:val="28"/>
        </w:rPr>
        <w:t xml:space="preserve"> </w:t>
      </w:r>
      <w:r w:rsidR="00DD63F5">
        <w:rPr>
          <w:rFonts w:ascii="Arial" w:hAnsi="Arial" w:cs="Arial"/>
          <w:sz w:val="28"/>
          <w:szCs w:val="28"/>
        </w:rPr>
        <w:t>Los Angeles County</w:t>
      </w:r>
    </w:p>
    <w:p w:rsidR="00931E0C" w:rsidRDefault="0027014B" w:rsidP="00DD63F5">
      <w:pPr>
        <w:pStyle w:val="Header"/>
        <w:jc w:val="center"/>
        <w:rPr>
          <w:rFonts w:ascii="Arial" w:hAnsi="Arial" w:cs="Arial"/>
          <w:sz w:val="28"/>
          <w:szCs w:val="28"/>
        </w:rPr>
      </w:pPr>
      <w:proofErr w:type="spellStart"/>
      <w:r>
        <w:rPr>
          <w:rFonts w:ascii="Arial" w:hAnsi="Arial" w:cs="Arial"/>
          <w:sz w:val="28"/>
          <w:szCs w:val="28"/>
        </w:rPr>
        <w:t>Census</w:t>
      </w:r>
      <w:r w:rsidR="00931E0C">
        <w:rPr>
          <w:rFonts w:ascii="Arial" w:hAnsi="Arial" w:cs="Arial"/>
          <w:sz w:val="28"/>
          <w:szCs w:val="28"/>
        </w:rPr>
        <w:t>Tract</w:t>
      </w:r>
      <w:proofErr w:type="spellEnd"/>
      <w:r w:rsidR="00931E0C">
        <w:rPr>
          <w:rFonts w:ascii="Arial" w:hAnsi="Arial" w:cs="Arial"/>
          <w:sz w:val="28"/>
          <w:szCs w:val="28"/>
        </w:rPr>
        <w:t>-City Split</w:t>
      </w:r>
      <w:r>
        <w:rPr>
          <w:rFonts w:ascii="Arial" w:hAnsi="Arial" w:cs="Arial"/>
          <w:sz w:val="28"/>
          <w:szCs w:val="28"/>
        </w:rPr>
        <w:t xml:space="preserve"> Area</w:t>
      </w:r>
      <w:r w:rsidR="00931E0C">
        <w:rPr>
          <w:rFonts w:ascii="Arial" w:hAnsi="Arial" w:cs="Arial"/>
          <w:sz w:val="28"/>
          <w:szCs w:val="28"/>
        </w:rPr>
        <w:t>s by Age, Race-Ethnicity and Sex</w:t>
      </w:r>
    </w:p>
    <w:p w:rsidR="00803776" w:rsidRDefault="00931E0C" w:rsidP="00DD63F5">
      <w:pPr>
        <w:pStyle w:val="Header"/>
        <w:jc w:val="center"/>
        <w:rPr>
          <w:rFonts w:ascii="Arial" w:hAnsi="Arial" w:cs="Arial"/>
          <w:sz w:val="28"/>
          <w:szCs w:val="28"/>
        </w:rPr>
      </w:pPr>
      <w:r>
        <w:rPr>
          <w:rFonts w:ascii="Arial" w:hAnsi="Arial" w:cs="Arial"/>
          <w:sz w:val="28"/>
          <w:szCs w:val="28"/>
        </w:rPr>
        <w:t xml:space="preserve">July 1, 2010 and </w:t>
      </w:r>
      <w:r w:rsidR="00DD63F5">
        <w:rPr>
          <w:rFonts w:ascii="Arial" w:hAnsi="Arial" w:cs="Arial"/>
          <w:sz w:val="28"/>
          <w:szCs w:val="28"/>
        </w:rPr>
        <w:t>July 1, 2011</w:t>
      </w:r>
    </w:p>
    <w:p w:rsidR="00412B6E" w:rsidRDefault="00412B6E" w:rsidP="00DF4065">
      <w:pPr>
        <w:pStyle w:val="Header"/>
        <w:jc w:val="center"/>
        <w:rPr>
          <w:rFonts w:ascii="Arial" w:hAnsi="Arial" w:cs="Arial"/>
          <w:sz w:val="28"/>
          <w:szCs w:val="28"/>
        </w:rPr>
      </w:pPr>
    </w:p>
    <w:p w:rsidR="00803776" w:rsidRDefault="00803776" w:rsidP="00DF4065">
      <w:pPr>
        <w:pStyle w:val="Header"/>
        <w:jc w:val="center"/>
        <w:rPr>
          <w:rFonts w:ascii="Arial" w:hAnsi="Arial" w:cs="Arial"/>
          <w:sz w:val="28"/>
          <w:szCs w:val="28"/>
        </w:rPr>
      </w:pPr>
    </w:p>
    <w:p w:rsidR="00803776" w:rsidRPr="00803776" w:rsidRDefault="00803776" w:rsidP="00803776">
      <w:pPr>
        <w:jc w:val="center"/>
        <w:rPr>
          <w:rFonts w:ascii="Arial" w:hAnsi="Arial" w:cs="Arial"/>
          <w:b/>
          <w:i/>
        </w:rPr>
      </w:pPr>
      <w:r w:rsidRPr="00803776">
        <w:rPr>
          <w:rFonts w:ascii="Arial" w:hAnsi="Arial" w:cs="Arial"/>
          <w:b/>
          <w:i/>
        </w:rPr>
        <w:t>Prepared for:</w:t>
      </w:r>
    </w:p>
    <w:p w:rsidR="00803776" w:rsidRPr="00803776" w:rsidRDefault="00803776" w:rsidP="00803776">
      <w:pPr>
        <w:rPr>
          <w:rFonts w:ascii="Arial" w:hAnsi="Arial" w:cs="Arial"/>
        </w:rPr>
      </w:pPr>
    </w:p>
    <w:p w:rsidR="00DD63F5" w:rsidRDefault="00803776" w:rsidP="00803776">
      <w:pPr>
        <w:jc w:val="center"/>
        <w:rPr>
          <w:rFonts w:ascii="Arial" w:hAnsi="Arial" w:cs="Arial"/>
        </w:rPr>
      </w:pPr>
      <w:r w:rsidRPr="00803776">
        <w:rPr>
          <w:rFonts w:ascii="Arial" w:hAnsi="Arial" w:cs="Arial"/>
        </w:rPr>
        <w:t xml:space="preserve">Los Angeles </w:t>
      </w:r>
      <w:r w:rsidR="00D209CC">
        <w:rPr>
          <w:rFonts w:ascii="Arial" w:hAnsi="Arial" w:cs="Arial"/>
        </w:rPr>
        <w:t xml:space="preserve">County </w:t>
      </w:r>
    </w:p>
    <w:p w:rsidR="00DD63F5" w:rsidRDefault="00DD63F5" w:rsidP="00803776">
      <w:pPr>
        <w:jc w:val="center"/>
        <w:rPr>
          <w:rFonts w:ascii="Arial" w:hAnsi="Arial" w:cs="Arial"/>
        </w:rPr>
      </w:pPr>
      <w:r>
        <w:rPr>
          <w:rFonts w:ascii="Arial" w:hAnsi="Arial" w:cs="Arial"/>
        </w:rPr>
        <w:t>Internal Services Department</w:t>
      </w:r>
    </w:p>
    <w:p w:rsidR="00DD63F5" w:rsidRPr="00DD63F5" w:rsidRDefault="00DD63F5" w:rsidP="00DD63F5">
      <w:pPr>
        <w:jc w:val="center"/>
        <w:rPr>
          <w:rFonts w:ascii="Arial" w:hAnsi="Arial" w:cs="Arial"/>
        </w:rPr>
      </w:pPr>
      <w:r w:rsidRPr="00DD63F5">
        <w:rPr>
          <w:rFonts w:ascii="Arial" w:hAnsi="Arial" w:cs="Arial"/>
        </w:rPr>
        <w:t>Social Services Division</w:t>
      </w:r>
    </w:p>
    <w:p w:rsidR="00DD63F5" w:rsidRDefault="00DD63F5" w:rsidP="00DD63F5">
      <w:pPr>
        <w:jc w:val="center"/>
        <w:rPr>
          <w:rFonts w:ascii="Arial" w:hAnsi="Arial" w:cs="Arial"/>
        </w:rPr>
      </w:pPr>
      <w:r w:rsidRPr="00DD63F5">
        <w:rPr>
          <w:rFonts w:ascii="Arial" w:hAnsi="Arial" w:cs="Arial"/>
        </w:rPr>
        <w:t xml:space="preserve">9150 Imperial Hwy </w:t>
      </w:r>
    </w:p>
    <w:p w:rsidR="00DD63F5" w:rsidRPr="00DD63F5" w:rsidRDefault="00DD63F5" w:rsidP="00DD63F5">
      <w:pPr>
        <w:jc w:val="center"/>
        <w:rPr>
          <w:rFonts w:ascii="Arial" w:hAnsi="Arial" w:cs="Arial"/>
        </w:rPr>
      </w:pPr>
      <w:r w:rsidRPr="00DD63F5">
        <w:rPr>
          <w:rFonts w:ascii="Arial" w:hAnsi="Arial" w:cs="Arial"/>
        </w:rPr>
        <w:t>Downey, CA 90242</w:t>
      </w:r>
    </w:p>
    <w:p w:rsidR="00DD63F5" w:rsidRDefault="00DD63F5" w:rsidP="00DD63F5">
      <w:pPr>
        <w:rPr>
          <w:rFonts w:ascii="Arial" w:hAnsi="Arial" w:cs="Arial"/>
          <w:b/>
          <w:bCs/>
          <w:i/>
          <w:iCs/>
          <w:color w:val="632423"/>
          <w:sz w:val="20"/>
          <w:szCs w:val="20"/>
        </w:rPr>
      </w:pPr>
    </w:p>
    <w:p w:rsidR="00803776" w:rsidRPr="00803776" w:rsidRDefault="00803776" w:rsidP="00803776">
      <w:pPr>
        <w:jc w:val="center"/>
        <w:rPr>
          <w:rFonts w:ascii="Arial" w:hAnsi="Arial" w:cs="Arial"/>
        </w:rPr>
      </w:pPr>
    </w:p>
    <w:p w:rsidR="00803776" w:rsidRPr="00803776" w:rsidRDefault="00803776" w:rsidP="00803776">
      <w:pPr>
        <w:jc w:val="center"/>
        <w:rPr>
          <w:rFonts w:ascii="Arial" w:hAnsi="Arial" w:cs="Arial"/>
        </w:rPr>
      </w:pPr>
    </w:p>
    <w:p w:rsidR="00803776" w:rsidRPr="00803776" w:rsidRDefault="00803776" w:rsidP="00803776">
      <w:pPr>
        <w:jc w:val="center"/>
        <w:rPr>
          <w:rFonts w:ascii="Arial" w:hAnsi="Arial" w:cs="Arial"/>
          <w:b/>
          <w:i/>
        </w:rPr>
      </w:pPr>
      <w:r w:rsidRPr="00803776">
        <w:rPr>
          <w:rFonts w:ascii="Arial" w:hAnsi="Arial" w:cs="Arial"/>
          <w:b/>
          <w:i/>
        </w:rPr>
        <w:t>Prepared by:</w:t>
      </w:r>
    </w:p>
    <w:p w:rsidR="00412B6E" w:rsidRDefault="00412B6E" w:rsidP="00803776">
      <w:pPr>
        <w:jc w:val="center"/>
        <w:rPr>
          <w:rFonts w:ascii="Arial" w:hAnsi="Arial" w:cs="Arial"/>
        </w:rPr>
      </w:pPr>
    </w:p>
    <w:p w:rsidR="00803776" w:rsidRDefault="00803776" w:rsidP="00803776">
      <w:pPr>
        <w:jc w:val="center"/>
        <w:rPr>
          <w:rFonts w:ascii="Arial" w:hAnsi="Arial" w:cs="Arial"/>
        </w:rPr>
      </w:pPr>
      <w:r w:rsidRPr="00803776">
        <w:rPr>
          <w:rFonts w:ascii="Arial" w:hAnsi="Arial" w:cs="Arial"/>
        </w:rPr>
        <w:t>John Hedderson, Ph.D.</w:t>
      </w:r>
    </w:p>
    <w:p w:rsidR="00012E80" w:rsidRDefault="00012E80" w:rsidP="00803776">
      <w:pPr>
        <w:jc w:val="center"/>
        <w:rPr>
          <w:rFonts w:ascii="Arial" w:hAnsi="Arial" w:cs="Arial"/>
        </w:rPr>
      </w:pPr>
      <w:proofErr w:type="gramStart"/>
      <w:r>
        <w:rPr>
          <w:rFonts w:ascii="Arial" w:hAnsi="Arial" w:cs="Arial"/>
        </w:rPr>
        <w:t>and</w:t>
      </w:r>
      <w:proofErr w:type="gramEnd"/>
    </w:p>
    <w:p w:rsidR="00012E80" w:rsidRDefault="00012E80" w:rsidP="00803776">
      <w:pPr>
        <w:jc w:val="center"/>
        <w:rPr>
          <w:rFonts w:ascii="Arial" w:hAnsi="Arial" w:cs="Arial"/>
        </w:rPr>
      </w:pPr>
      <w:r>
        <w:rPr>
          <w:rFonts w:ascii="Arial" w:hAnsi="Arial" w:cs="Arial"/>
        </w:rPr>
        <w:t xml:space="preserve">Joyce </w:t>
      </w:r>
      <w:proofErr w:type="spellStart"/>
      <w:r>
        <w:rPr>
          <w:rFonts w:ascii="Arial" w:hAnsi="Arial" w:cs="Arial"/>
        </w:rPr>
        <w:t>Bixler</w:t>
      </w:r>
      <w:proofErr w:type="spellEnd"/>
    </w:p>
    <w:p w:rsidR="00412B6E" w:rsidRDefault="00412B6E" w:rsidP="00803776">
      <w:pPr>
        <w:jc w:val="center"/>
        <w:rPr>
          <w:rFonts w:ascii="Arial" w:hAnsi="Arial" w:cs="Arial"/>
        </w:rPr>
      </w:pPr>
    </w:p>
    <w:p w:rsidR="00012E80" w:rsidRDefault="00012E80" w:rsidP="00803776">
      <w:pPr>
        <w:jc w:val="center"/>
        <w:rPr>
          <w:rFonts w:ascii="Arial" w:hAnsi="Arial" w:cs="Arial"/>
        </w:rPr>
      </w:pPr>
    </w:p>
    <w:p w:rsidR="00012E80" w:rsidRDefault="00012E80" w:rsidP="00803776">
      <w:pPr>
        <w:jc w:val="center"/>
        <w:rPr>
          <w:rFonts w:ascii="Arial" w:hAnsi="Arial" w:cs="Arial"/>
        </w:rPr>
      </w:pPr>
    </w:p>
    <w:p w:rsidR="00803776" w:rsidRDefault="00803776" w:rsidP="00803776">
      <w:pPr>
        <w:jc w:val="center"/>
        <w:rPr>
          <w:rFonts w:ascii="Arial" w:hAnsi="Arial" w:cs="Arial"/>
        </w:rPr>
      </w:pPr>
      <w:r>
        <w:rPr>
          <w:rFonts w:ascii="Arial" w:hAnsi="Arial" w:cs="Arial"/>
        </w:rPr>
        <w:t>Hedderson Demographic Services</w:t>
      </w:r>
    </w:p>
    <w:p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1015 South Beach Drive</w:t>
      </w:r>
    </w:p>
    <w:p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Sacramento, CA 95831</w:t>
      </w:r>
    </w:p>
    <w:p w:rsidR="00412B6E" w:rsidRPr="00412B6E" w:rsidRDefault="00412B6E" w:rsidP="00412B6E">
      <w:pPr>
        <w:tabs>
          <w:tab w:val="center" w:pos="4320"/>
          <w:tab w:val="right" w:pos="8640"/>
        </w:tabs>
        <w:jc w:val="center"/>
        <w:rPr>
          <w:rFonts w:ascii="Arial" w:hAnsi="Arial" w:cs="Arial"/>
          <w:b/>
          <w:bCs/>
          <w:i/>
          <w:iCs/>
          <w:sz w:val="20"/>
          <w:szCs w:val="18"/>
        </w:rPr>
      </w:pPr>
      <w:r w:rsidRPr="00412B6E">
        <w:rPr>
          <w:rFonts w:ascii="Arial" w:hAnsi="Arial" w:cs="Arial"/>
          <w:b/>
          <w:bCs/>
          <w:i/>
          <w:iCs/>
          <w:sz w:val="20"/>
          <w:szCs w:val="18"/>
        </w:rPr>
        <w:t>916.529.7465</w:t>
      </w:r>
    </w:p>
    <w:p w:rsidR="00412B6E" w:rsidRPr="00412B6E" w:rsidRDefault="00D738D3" w:rsidP="00412B6E">
      <w:pPr>
        <w:tabs>
          <w:tab w:val="center" w:pos="4320"/>
          <w:tab w:val="right" w:pos="8640"/>
        </w:tabs>
        <w:jc w:val="center"/>
        <w:rPr>
          <w:rFonts w:ascii="Arial" w:hAnsi="Arial" w:cs="Arial"/>
          <w:b/>
          <w:bCs/>
          <w:i/>
          <w:iCs/>
          <w:sz w:val="20"/>
          <w:szCs w:val="18"/>
        </w:rPr>
      </w:pPr>
      <w:hyperlink r:id="rId8" w:history="1">
        <w:r w:rsidR="00412B6E" w:rsidRPr="00412B6E">
          <w:rPr>
            <w:rFonts w:ascii="Arial" w:hAnsi="Arial" w:cs="Arial"/>
            <w:b/>
            <w:bCs/>
            <w:i/>
            <w:iCs/>
            <w:color w:val="0000FF"/>
            <w:sz w:val="20"/>
            <w:szCs w:val="18"/>
            <w:u w:val="single"/>
          </w:rPr>
          <w:t>jhedderson@sbcglobal.net</w:t>
        </w:r>
      </w:hyperlink>
    </w:p>
    <w:p w:rsidR="00412B6E" w:rsidRPr="00412B6E" w:rsidRDefault="00412B6E" w:rsidP="00412B6E">
      <w:pPr>
        <w:tabs>
          <w:tab w:val="center" w:pos="4320"/>
          <w:tab w:val="right" w:pos="8640"/>
        </w:tabs>
        <w:rPr>
          <w:rFonts w:ascii="Arial" w:hAnsi="Arial" w:cs="Arial"/>
          <w:b/>
          <w:bCs/>
          <w:i/>
          <w:iCs/>
          <w:sz w:val="20"/>
        </w:rPr>
      </w:pPr>
    </w:p>
    <w:p w:rsidR="00412B6E" w:rsidRDefault="00412B6E" w:rsidP="00803776">
      <w:pPr>
        <w:jc w:val="center"/>
        <w:rPr>
          <w:rFonts w:ascii="Arial" w:hAnsi="Arial" w:cs="Arial"/>
        </w:rPr>
      </w:pPr>
    </w:p>
    <w:p w:rsidR="00412B6E" w:rsidRDefault="00412B6E" w:rsidP="00803776">
      <w:pPr>
        <w:jc w:val="center"/>
        <w:rPr>
          <w:rFonts w:ascii="Arial" w:hAnsi="Arial" w:cs="Arial"/>
        </w:rPr>
      </w:pPr>
    </w:p>
    <w:p w:rsidR="00B40451" w:rsidRPr="00797F75" w:rsidRDefault="00B40451" w:rsidP="00B40451">
      <w:pPr>
        <w:jc w:val="center"/>
        <w:rPr>
          <w:rFonts w:ascii="Arial" w:hAnsi="Arial" w:cs="Arial"/>
          <w:sz w:val="20"/>
          <w:szCs w:val="20"/>
        </w:rPr>
      </w:pPr>
      <w:r w:rsidRPr="00797F75">
        <w:rPr>
          <w:rFonts w:ascii="Arial" w:hAnsi="Arial" w:cs="Arial"/>
          <w:sz w:val="20"/>
          <w:szCs w:val="20"/>
        </w:rPr>
        <w:t>Suggested Database Citation:</w:t>
      </w:r>
    </w:p>
    <w:p w:rsidR="00B40451" w:rsidRPr="00797F75" w:rsidRDefault="00B40451" w:rsidP="00B40451">
      <w:pPr>
        <w:jc w:val="center"/>
        <w:rPr>
          <w:rFonts w:ascii="Arial" w:hAnsi="Arial" w:cs="Arial"/>
          <w:sz w:val="20"/>
          <w:szCs w:val="20"/>
        </w:rPr>
      </w:pPr>
    </w:p>
    <w:p w:rsidR="00412B6E" w:rsidRDefault="00B40451" w:rsidP="00284BB9">
      <w:pPr>
        <w:rPr>
          <w:rFonts w:ascii="Arial" w:hAnsi="Arial" w:cs="Arial"/>
        </w:rPr>
      </w:pPr>
      <w:r w:rsidRPr="00797F75">
        <w:rPr>
          <w:rFonts w:ascii="Arial" w:hAnsi="Arial" w:cs="Arial"/>
          <w:sz w:val="20"/>
          <w:szCs w:val="20"/>
        </w:rPr>
        <w:t xml:space="preserve">County of Los Angeles, Internal Services Department, Social Services Systems Division, </w:t>
      </w:r>
      <w:r w:rsidR="0027014B" w:rsidRPr="0027014B">
        <w:rPr>
          <w:rFonts w:ascii="Arial" w:hAnsi="Arial" w:cs="Arial"/>
          <w:i/>
          <w:sz w:val="20"/>
          <w:szCs w:val="20"/>
        </w:rPr>
        <w:t xml:space="preserve">Population and Poverty </w:t>
      </w:r>
      <w:r w:rsidRPr="00974830">
        <w:rPr>
          <w:rFonts w:ascii="Arial" w:hAnsi="Arial" w:cs="Arial"/>
          <w:i/>
          <w:sz w:val="20"/>
          <w:szCs w:val="20"/>
        </w:rPr>
        <w:t>Estimate</w:t>
      </w:r>
      <w:r w:rsidR="0027014B">
        <w:rPr>
          <w:rFonts w:ascii="Arial" w:hAnsi="Arial" w:cs="Arial"/>
          <w:i/>
          <w:sz w:val="20"/>
          <w:szCs w:val="20"/>
        </w:rPr>
        <w:t xml:space="preserve">s for Los Angeles County </w:t>
      </w:r>
      <w:r w:rsidRPr="00974830">
        <w:rPr>
          <w:rFonts w:ascii="Arial" w:hAnsi="Arial" w:cs="Arial"/>
          <w:i/>
          <w:sz w:val="20"/>
          <w:szCs w:val="20"/>
        </w:rPr>
        <w:t xml:space="preserve">Census Tract-City Split </w:t>
      </w:r>
      <w:r w:rsidR="00284BB9" w:rsidRPr="00974830">
        <w:rPr>
          <w:rFonts w:ascii="Arial" w:hAnsi="Arial" w:cs="Arial"/>
          <w:i/>
          <w:sz w:val="20"/>
          <w:szCs w:val="20"/>
        </w:rPr>
        <w:t>Area</w:t>
      </w:r>
      <w:r w:rsidR="0027014B">
        <w:rPr>
          <w:rFonts w:ascii="Arial" w:hAnsi="Arial" w:cs="Arial"/>
          <w:i/>
          <w:sz w:val="20"/>
          <w:szCs w:val="20"/>
        </w:rPr>
        <w:t>s</w:t>
      </w:r>
      <w:r w:rsidRPr="00974830">
        <w:rPr>
          <w:rFonts w:ascii="Arial" w:hAnsi="Arial" w:cs="Arial"/>
          <w:i/>
          <w:sz w:val="20"/>
          <w:szCs w:val="20"/>
        </w:rPr>
        <w:t xml:space="preserve"> by </w:t>
      </w:r>
      <w:r w:rsidR="00431B7B">
        <w:rPr>
          <w:rFonts w:ascii="Arial" w:hAnsi="Arial" w:cs="Arial"/>
          <w:i/>
          <w:sz w:val="20"/>
          <w:szCs w:val="20"/>
        </w:rPr>
        <w:t xml:space="preserve">Race-Ethnicity, </w:t>
      </w:r>
      <w:r w:rsidRPr="00974830">
        <w:rPr>
          <w:rFonts w:ascii="Arial" w:hAnsi="Arial" w:cs="Arial"/>
          <w:i/>
          <w:sz w:val="20"/>
          <w:szCs w:val="20"/>
        </w:rPr>
        <w:t>Age,</w:t>
      </w:r>
      <w:r w:rsidR="00431B7B">
        <w:rPr>
          <w:rFonts w:ascii="Arial" w:hAnsi="Arial" w:cs="Arial"/>
          <w:i/>
          <w:sz w:val="20"/>
          <w:szCs w:val="20"/>
        </w:rPr>
        <w:t xml:space="preserve"> and</w:t>
      </w:r>
      <w:r w:rsidRPr="00974830">
        <w:rPr>
          <w:rFonts w:ascii="Arial" w:hAnsi="Arial" w:cs="Arial"/>
          <w:i/>
          <w:sz w:val="20"/>
          <w:szCs w:val="20"/>
        </w:rPr>
        <w:t xml:space="preserve"> Sex, 2010 and 2011</w:t>
      </w:r>
      <w:r w:rsidRPr="00797F75">
        <w:rPr>
          <w:rFonts w:ascii="Arial" w:hAnsi="Arial" w:cs="Arial"/>
          <w:sz w:val="20"/>
          <w:szCs w:val="20"/>
        </w:rPr>
        <w:t xml:space="preserve">. Los Angeles, CA, </w:t>
      </w:r>
      <w:r w:rsidR="00360B3F">
        <w:rPr>
          <w:rFonts w:ascii="Arial" w:hAnsi="Arial" w:cs="Arial"/>
          <w:sz w:val="20"/>
          <w:szCs w:val="20"/>
        </w:rPr>
        <w:t xml:space="preserve">October </w:t>
      </w:r>
      <w:r w:rsidRPr="00797F75">
        <w:rPr>
          <w:rFonts w:ascii="Arial" w:hAnsi="Arial" w:cs="Arial"/>
          <w:sz w:val="20"/>
          <w:szCs w:val="20"/>
        </w:rPr>
        <w:t>2012.</w:t>
      </w:r>
    </w:p>
    <w:p w:rsidR="00412B6E" w:rsidRDefault="00412B6E" w:rsidP="00803776">
      <w:pPr>
        <w:jc w:val="center"/>
        <w:rPr>
          <w:rFonts w:ascii="Arial" w:hAnsi="Arial" w:cs="Arial"/>
        </w:rPr>
      </w:pPr>
    </w:p>
    <w:p w:rsidR="00412B6E" w:rsidRDefault="00412B6E" w:rsidP="00803776">
      <w:pPr>
        <w:jc w:val="center"/>
        <w:rPr>
          <w:rFonts w:ascii="Arial" w:hAnsi="Arial" w:cs="Arial"/>
        </w:rPr>
      </w:pPr>
    </w:p>
    <w:p w:rsidR="00D60E02" w:rsidRDefault="00D60E02" w:rsidP="00803776">
      <w:pPr>
        <w:jc w:val="center"/>
        <w:rPr>
          <w:rFonts w:ascii="Arial" w:hAnsi="Arial" w:cs="Arial"/>
        </w:rPr>
      </w:pPr>
      <w:r>
        <w:rPr>
          <w:rFonts w:ascii="Arial" w:hAnsi="Arial" w:cs="Arial"/>
        </w:rPr>
        <w:t xml:space="preserve">Documentation </w:t>
      </w:r>
      <w:r w:rsidR="005F2592">
        <w:rPr>
          <w:rFonts w:ascii="Arial" w:hAnsi="Arial" w:cs="Arial"/>
        </w:rPr>
        <w:t xml:space="preserve">Revised </w:t>
      </w:r>
    </w:p>
    <w:p w:rsidR="00D60E02" w:rsidRDefault="00D60E02" w:rsidP="00803776">
      <w:pPr>
        <w:jc w:val="center"/>
        <w:rPr>
          <w:rFonts w:ascii="Arial" w:hAnsi="Arial" w:cs="Arial"/>
        </w:rPr>
      </w:pPr>
    </w:p>
    <w:p w:rsidR="00E27D5B" w:rsidRDefault="005F2592" w:rsidP="00803776">
      <w:pPr>
        <w:jc w:val="center"/>
        <w:rPr>
          <w:rFonts w:ascii="Arial" w:hAnsi="Arial" w:cs="Arial"/>
        </w:rPr>
      </w:pPr>
      <w:r>
        <w:rPr>
          <w:rFonts w:ascii="Arial" w:hAnsi="Arial" w:cs="Arial"/>
        </w:rPr>
        <w:t>April 20,</w:t>
      </w:r>
      <w:r w:rsidR="00012E80">
        <w:rPr>
          <w:rFonts w:ascii="Arial" w:hAnsi="Arial" w:cs="Arial"/>
        </w:rPr>
        <w:t xml:space="preserve"> 2012</w:t>
      </w:r>
    </w:p>
    <w:p w:rsidR="00797F75" w:rsidRDefault="00797F75" w:rsidP="00797F75">
      <w:pPr>
        <w:rPr>
          <w:rFonts w:ascii="Arial" w:hAnsi="Arial" w:cs="Arial"/>
        </w:rPr>
      </w:pPr>
    </w:p>
    <w:p w:rsidR="00797F75" w:rsidRDefault="00797F75" w:rsidP="00797F75">
      <w:pPr>
        <w:rPr>
          <w:rFonts w:ascii="Arial" w:hAnsi="Arial" w:cs="Arial"/>
        </w:rPr>
        <w:sectPr w:rsidR="00797F75" w:rsidSect="00797F75">
          <w:footerReference w:type="default" r:id="rId9"/>
          <w:pgSz w:w="12240" w:h="15840" w:code="1"/>
          <w:pgMar w:top="720" w:right="1440" w:bottom="720" w:left="1440" w:header="720" w:footer="720" w:gutter="0"/>
          <w:pgNumType w:start="0"/>
          <w:cols w:space="720"/>
          <w:titlePg/>
          <w:docGrid w:linePitch="360"/>
        </w:sectPr>
      </w:pPr>
    </w:p>
    <w:p w:rsidR="00797F75" w:rsidRDefault="00797F75" w:rsidP="00797F75">
      <w:pPr>
        <w:rPr>
          <w:rFonts w:ascii="Arial" w:hAnsi="Arial" w:cs="Arial"/>
        </w:rPr>
      </w:pPr>
    </w:p>
    <w:p w:rsidR="00D1114B" w:rsidRPr="00057B65" w:rsidRDefault="00D1114B" w:rsidP="00D1114B">
      <w:pPr>
        <w:jc w:val="center"/>
        <w:rPr>
          <w:rFonts w:ascii="Arial" w:hAnsi="Arial" w:cs="Arial"/>
          <w:b/>
          <w:sz w:val="28"/>
          <w:szCs w:val="28"/>
        </w:rPr>
      </w:pPr>
      <w:r w:rsidRPr="00057B65">
        <w:rPr>
          <w:rFonts w:ascii="Arial" w:hAnsi="Arial" w:cs="Arial"/>
          <w:b/>
          <w:sz w:val="28"/>
          <w:szCs w:val="28"/>
        </w:rPr>
        <w:t>Table of Contents</w:t>
      </w:r>
    </w:p>
    <w:p w:rsidR="00D1114B" w:rsidRPr="00924FFB" w:rsidRDefault="00D1114B" w:rsidP="00D1114B">
      <w:pPr>
        <w:jc w:val="center"/>
        <w:rPr>
          <w:rFonts w:ascii="Arial" w:hAnsi="Arial" w:cs="Arial"/>
          <w:sz w:val="28"/>
          <w:szCs w:val="28"/>
        </w:rPr>
      </w:pPr>
    </w:p>
    <w:p w:rsidR="00D1114B" w:rsidRPr="00797F75" w:rsidRDefault="00D1114B" w:rsidP="00D1114B">
      <w:pPr>
        <w:pStyle w:val="TOC1"/>
        <w:numPr>
          <w:ilvl w:val="0"/>
          <w:numId w:val="12"/>
        </w:numPr>
        <w:rPr>
          <w:rFonts w:ascii="Arial" w:hAnsi="Arial" w:cs="Arial"/>
        </w:rPr>
      </w:pPr>
      <w:r>
        <w:rPr>
          <w:rFonts w:ascii="Arial" w:hAnsi="Arial" w:cs="Arial"/>
          <w:b/>
          <w:bCs/>
        </w:rPr>
        <w:t>Data Dictionaries</w:t>
      </w:r>
      <w:r w:rsidR="0016782C">
        <w:rPr>
          <w:rFonts w:ascii="Arial" w:hAnsi="Arial" w:cs="Arial"/>
          <w:b/>
          <w:bCs/>
        </w:rPr>
        <w:t xml:space="preserve"> and Summary Totals (Appendix A)</w:t>
      </w:r>
    </w:p>
    <w:p w:rsidR="00D1114B" w:rsidRPr="00797F75" w:rsidRDefault="00D1114B" w:rsidP="00D1114B">
      <w:pPr>
        <w:pStyle w:val="TOC1"/>
        <w:numPr>
          <w:ilvl w:val="0"/>
          <w:numId w:val="12"/>
        </w:numPr>
        <w:rPr>
          <w:rFonts w:ascii="Arial" w:hAnsi="Arial" w:cs="Arial"/>
        </w:rPr>
      </w:pPr>
      <w:r>
        <w:rPr>
          <w:rFonts w:ascii="Arial" w:hAnsi="Arial" w:cs="Arial"/>
          <w:b/>
          <w:bCs/>
        </w:rPr>
        <w:t>Estimation Methods</w:t>
      </w:r>
      <w:r w:rsidRPr="0016782C">
        <w:rPr>
          <w:rFonts w:ascii="Arial" w:hAnsi="Arial" w:cs="Arial"/>
          <w:b/>
        </w:rPr>
        <w:ptab w:relativeTo="margin" w:alignment="right" w:leader="dot"/>
      </w:r>
      <w:r w:rsidR="0016782C">
        <w:rPr>
          <w:rFonts w:ascii="Arial" w:hAnsi="Arial" w:cs="Arial"/>
        </w:rPr>
        <w:t>1</w:t>
      </w:r>
    </w:p>
    <w:p w:rsidR="00D1114B" w:rsidRDefault="00D1114B" w:rsidP="00D1114B">
      <w:pPr>
        <w:pStyle w:val="TOC2"/>
        <w:ind w:left="216" w:firstLine="504"/>
        <w:rPr>
          <w:rFonts w:ascii="Arial" w:hAnsi="Arial" w:cs="Arial"/>
        </w:rPr>
      </w:pPr>
      <w:r>
        <w:rPr>
          <w:rFonts w:ascii="Arial" w:hAnsi="Arial" w:cs="Arial"/>
        </w:rPr>
        <w:t>2.1 Input Datasets Source List</w:t>
      </w:r>
      <w:r w:rsidRPr="00797F75">
        <w:rPr>
          <w:rFonts w:ascii="Arial" w:hAnsi="Arial" w:cs="Arial"/>
        </w:rPr>
        <w:ptab w:relativeTo="margin" w:alignment="right" w:leader="dot"/>
      </w:r>
      <w:r w:rsidR="0016782C">
        <w:rPr>
          <w:rFonts w:ascii="Arial" w:hAnsi="Arial" w:cs="Arial"/>
        </w:rPr>
        <w:t>2</w:t>
      </w:r>
    </w:p>
    <w:p w:rsidR="00D1114B" w:rsidRDefault="00D1114B" w:rsidP="00D1114B">
      <w:pPr>
        <w:pStyle w:val="TOC2"/>
        <w:ind w:left="216" w:firstLine="504"/>
        <w:rPr>
          <w:rFonts w:ascii="Arial" w:hAnsi="Arial" w:cs="Arial"/>
        </w:rPr>
      </w:pPr>
      <w:r w:rsidRPr="00924FFB">
        <w:rPr>
          <w:rFonts w:ascii="Arial" w:hAnsi="Arial" w:cs="Arial"/>
        </w:rPr>
        <w:t>2.2 Data Flow Diagrams and Narrative</w:t>
      </w:r>
      <w:r w:rsidRPr="00924FFB">
        <w:rPr>
          <w:rFonts w:ascii="Arial" w:hAnsi="Arial" w:cs="Arial"/>
        </w:rPr>
        <w:ptab w:relativeTo="margin" w:alignment="right" w:leader="dot"/>
      </w:r>
      <w:r w:rsidR="0016782C">
        <w:rPr>
          <w:rFonts w:ascii="Arial" w:hAnsi="Arial" w:cs="Arial"/>
        </w:rPr>
        <w:t>3</w:t>
      </w:r>
    </w:p>
    <w:p w:rsidR="00D1114B" w:rsidRDefault="00D1114B" w:rsidP="00D1114B">
      <w:pPr>
        <w:pStyle w:val="TOC2"/>
        <w:ind w:left="720"/>
        <w:rPr>
          <w:rFonts w:ascii="Arial" w:hAnsi="Arial" w:cs="Arial"/>
        </w:rPr>
      </w:pPr>
      <w:r w:rsidRPr="00924FFB">
        <w:rPr>
          <w:rFonts w:ascii="Arial" w:hAnsi="Arial" w:cs="Arial"/>
        </w:rPr>
        <w:t>2.</w:t>
      </w:r>
      <w:r>
        <w:rPr>
          <w:rFonts w:ascii="Arial" w:hAnsi="Arial" w:cs="Arial"/>
        </w:rPr>
        <w:t>3</w:t>
      </w:r>
      <w:r w:rsidRPr="00924FFB">
        <w:rPr>
          <w:rFonts w:ascii="Arial" w:hAnsi="Arial" w:cs="Arial"/>
        </w:rPr>
        <w:t xml:space="preserve"> </w:t>
      </w:r>
      <w:r>
        <w:rPr>
          <w:rFonts w:ascii="Arial" w:hAnsi="Arial" w:cs="Arial"/>
        </w:rPr>
        <w:t>Numeric Examples of Impact of Process Steps on Populations by Race-Ethnicity</w:t>
      </w:r>
      <w:r w:rsidRPr="00924FFB">
        <w:rPr>
          <w:rFonts w:ascii="Arial" w:hAnsi="Arial" w:cs="Arial"/>
        </w:rPr>
        <w:ptab w:relativeTo="margin" w:alignment="right" w:leader="dot"/>
      </w:r>
      <w:r w:rsidR="0016782C">
        <w:rPr>
          <w:rFonts w:ascii="Arial" w:hAnsi="Arial" w:cs="Arial"/>
        </w:rPr>
        <w:t>10</w:t>
      </w:r>
    </w:p>
    <w:p w:rsidR="00D1114B" w:rsidRPr="00057B65" w:rsidRDefault="00D1114B" w:rsidP="00D1114B">
      <w:pPr>
        <w:pStyle w:val="TOC1"/>
        <w:numPr>
          <w:ilvl w:val="0"/>
          <w:numId w:val="12"/>
        </w:numPr>
        <w:rPr>
          <w:rFonts w:ascii="Arial" w:hAnsi="Arial" w:cs="Arial"/>
          <w:b/>
          <w:bCs/>
        </w:rPr>
      </w:pPr>
      <w:r>
        <w:rPr>
          <w:rFonts w:ascii="Arial" w:hAnsi="Arial" w:cs="Arial"/>
          <w:b/>
          <w:bCs/>
        </w:rPr>
        <w:t xml:space="preserve">Comments on Reliability and Use of the Final Population </w:t>
      </w:r>
      <w:r w:rsidRPr="00057B65">
        <w:rPr>
          <w:rFonts w:ascii="Arial" w:hAnsi="Arial" w:cs="Arial"/>
          <w:b/>
          <w:bCs/>
        </w:rPr>
        <w:t>Estimates</w:t>
      </w:r>
      <w:r w:rsidRPr="00057B65">
        <w:rPr>
          <w:rFonts w:ascii="Arial" w:hAnsi="Arial" w:cs="Arial"/>
          <w:b/>
        </w:rPr>
        <w:ptab w:relativeTo="margin" w:alignment="right" w:leader="dot"/>
      </w:r>
      <w:r w:rsidRPr="00057B65">
        <w:rPr>
          <w:rFonts w:ascii="Arial" w:hAnsi="Arial" w:cs="Arial"/>
          <w:b/>
        </w:rPr>
        <w:t>1</w:t>
      </w:r>
      <w:r w:rsidR="0016782C">
        <w:rPr>
          <w:rFonts w:ascii="Arial" w:hAnsi="Arial" w:cs="Arial"/>
          <w:b/>
        </w:rPr>
        <w:t>1</w:t>
      </w:r>
    </w:p>
    <w:p w:rsidR="00D1114B" w:rsidRPr="00057B65" w:rsidRDefault="00D1114B" w:rsidP="00D1114B">
      <w:pPr>
        <w:pStyle w:val="TOC1"/>
        <w:numPr>
          <w:ilvl w:val="0"/>
          <w:numId w:val="12"/>
        </w:numPr>
        <w:rPr>
          <w:rFonts w:ascii="Arial" w:hAnsi="Arial" w:cs="Arial"/>
          <w:b/>
          <w:bCs/>
        </w:rPr>
      </w:pPr>
      <w:r>
        <w:rPr>
          <w:rFonts w:ascii="Arial" w:hAnsi="Arial" w:cs="Arial"/>
          <w:b/>
          <w:bCs/>
        </w:rPr>
        <w:t xml:space="preserve">List of Associated Data Products and Their Naming </w:t>
      </w:r>
      <w:r w:rsidRPr="00057B65">
        <w:rPr>
          <w:rFonts w:ascii="Arial" w:hAnsi="Arial" w:cs="Arial"/>
          <w:b/>
          <w:bCs/>
        </w:rPr>
        <w:t>Convention</w:t>
      </w:r>
      <w:r w:rsidRPr="00057B65">
        <w:rPr>
          <w:rFonts w:ascii="Arial" w:hAnsi="Arial" w:cs="Arial"/>
          <w:b/>
        </w:rPr>
        <w:ptab w:relativeTo="margin" w:alignment="right" w:leader="dot"/>
      </w:r>
      <w:r w:rsidR="0016782C">
        <w:rPr>
          <w:rFonts w:ascii="Arial" w:hAnsi="Arial" w:cs="Arial"/>
          <w:b/>
        </w:rPr>
        <w:t>12</w:t>
      </w:r>
    </w:p>
    <w:p w:rsidR="00D1114B" w:rsidRPr="0016782C" w:rsidRDefault="00D1114B" w:rsidP="00D1114B">
      <w:pPr>
        <w:pStyle w:val="TOC1"/>
        <w:numPr>
          <w:ilvl w:val="0"/>
          <w:numId w:val="12"/>
        </w:numPr>
        <w:rPr>
          <w:rFonts w:ascii="Arial" w:hAnsi="Arial" w:cs="Arial"/>
          <w:b/>
          <w:bCs/>
        </w:rPr>
      </w:pPr>
      <w:r>
        <w:rPr>
          <w:rFonts w:ascii="Arial" w:hAnsi="Arial" w:cs="Arial"/>
          <w:b/>
          <w:bCs/>
        </w:rPr>
        <w:t xml:space="preserve">List of </w:t>
      </w:r>
      <w:r w:rsidRPr="0016782C">
        <w:rPr>
          <w:rFonts w:ascii="Arial" w:hAnsi="Arial" w:cs="Arial"/>
          <w:b/>
          <w:bCs/>
        </w:rPr>
        <w:t>References</w:t>
      </w:r>
      <w:r w:rsidRPr="0016782C">
        <w:rPr>
          <w:rFonts w:ascii="Arial" w:hAnsi="Arial" w:cs="Arial"/>
          <w:b/>
        </w:rPr>
        <w:ptab w:relativeTo="margin" w:alignment="right" w:leader="dot"/>
      </w:r>
      <w:r w:rsidRPr="0016782C">
        <w:rPr>
          <w:rFonts w:ascii="Arial" w:hAnsi="Arial" w:cs="Arial"/>
          <w:b/>
          <w:bCs/>
        </w:rPr>
        <w:t>1</w:t>
      </w:r>
      <w:r w:rsidR="00761FBC">
        <w:rPr>
          <w:rFonts w:ascii="Arial" w:hAnsi="Arial" w:cs="Arial"/>
          <w:b/>
          <w:bCs/>
        </w:rPr>
        <w:t>3</w:t>
      </w:r>
    </w:p>
    <w:p w:rsidR="00D1114B" w:rsidRPr="00CE74D2" w:rsidRDefault="00D1114B" w:rsidP="00D1114B">
      <w:pPr>
        <w:pStyle w:val="TOC3"/>
      </w:pPr>
      <w:r w:rsidRPr="00CE74D2">
        <w:t>End Notes</w:t>
      </w:r>
      <w:r w:rsidRPr="00CE74D2">
        <w:ptab w:relativeTo="margin" w:alignment="right" w:leader="dot"/>
      </w:r>
      <w:r w:rsidR="0016782C">
        <w:t>1</w:t>
      </w:r>
      <w:r w:rsidR="00761FBC">
        <w:t>4</w:t>
      </w:r>
    </w:p>
    <w:p w:rsidR="0016782C" w:rsidRDefault="0016782C" w:rsidP="00D1114B">
      <w:pPr>
        <w:rPr>
          <w:rFonts w:ascii="Arial" w:hAnsi="Arial" w:cs="Arial"/>
          <w:sz w:val="28"/>
          <w:szCs w:val="28"/>
        </w:rPr>
      </w:pPr>
    </w:p>
    <w:p w:rsidR="0016782C" w:rsidRDefault="0016782C" w:rsidP="00D1114B">
      <w:pPr>
        <w:rPr>
          <w:rFonts w:ascii="Arial" w:hAnsi="Arial" w:cs="Arial"/>
          <w:sz w:val="28"/>
          <w:szCs w:val="28"/>
        </w:rPr>
      </w:pPr>
    </w:p>
    <w:p w:rsidR="00D1114B" w:rsidRDefault="00D1114B" w:rsidP="00D1114B">
      <w:pPr>
        <w:rPr>
          <w:rFonts w:ascii="Arial" w:hAnsi="Arial" w:cs="Arial"/>
          <w:sz w:val="28"/>
          <w:szCs w:val="28"/>
        </w:rPr>
      </w:pPr>
      <w:r>
        <w:rPr>
          <w:rFonts w:ascii="Arial" w:hAnsi="Arial" w:cs="Arial"/>
          <w:sz w:val="28"/>
          <w:szCs w:val="28"/>
        </w:rPr>
        <w:br w:type="page"/>
      </w:r>
    </w:p>
    <w:p w:rsidR="00797F75" w:rsidRDefault="00797F75">
      <w:pPr>
        <w:rPr>
          <w:rFonts w:ascii="Arial" w:hAnsi="Arial" w:cs="Arial"/>
          <w:sz w:val="28"/>
          <w:szCs w:val="28"/>
        </w:rPr>
      </w:pPr>
    </w:p>
    <w:p w:rsidR="00797F75" w:rsidRDefault="00797F75">
      <w:pPr>
        <w:rPr>
          <w:rFonts w:ascii="Arial" w:hAnsi="Arial" w:cs="Arial"/>
          <w:sz w:val="28"/>
          <w:szCs w:val="28"/>
        </w:rPr>
      </w:pPr>
    </w:p>
    <w:p w:rsidR="0027014B" w:rsidRDefault="0027014B" w:rsidP="0027014B">
      <w:pPr>
        <w:pStyle w:val="Header"/>
        <w:jc w:val="center"/>
        <w:rPr>
          <w:rFonts w:ascii="Arial" w:hAnsi="Arial" w:cs="Arial"/>
          <w:sz w:val="28"/>
          <w:szCs w:val="28"/>
        </w:rPr>
      </w:pPr>
      <w:r>
        <w:rPr>
          <w:rFonts w:ascii="Arial" w:hAnsi="Arial" w:cs="Arial"/>
          <w:sz w:val="28"/>
          <w:szCs w:val="28"/>
        </w:rPr>
        <w:t>Population and Poverty Estimates for Los Angeles County</w:t>
      </w:r>
    </w:p>
    <w:p w:rsidR="0027014B" w:rsidRDefault="0027014B" w:rsidP="0027014B">
      <w:pPr>
        <w:pStyle w:val="Header"/>
        <w:jc w:val="center"/>
        <w:rPr>
          <w:rFonts w:ascii="Arial" w:hAnsi="Arial" w:cs="Arial"/>
          <w:sz w:val="28"/>
          <w:szCs w:val="28"/>
        </w:rPr>
      </w:pPr>
      <w:proofErr w:type="spellStart"/>
      <w:r>
        <w:rPr>
          <w:rFonts w:ascii="Arial" w:hAnsi="Arial" w:cs="Arial"/>
          <w:sz w:val="28"/>
          <w:szCs w:val="28"/>
        </w:rPr>
        <w:t>CensusTract</w:t>
      </w:r>
      <w:proofErr w:type="spellEnd"/>
      <w:r>
        <w:rPr>
          <w:rFonts w:ascii="Arial" w:hAnsi="Arial" w:cs="Arial"/>
          <w:sz w:val="28"/>
          <w:szCs w:val="28"/>
        </w:rPr>
        <w:t>-City Split Areas by Age, Race-Ethnicity and Sex</w:t>
      </w:r>
    </w:p>
    <w:p w:rsidR="0027014B" w:rsidRDefault="0027014B" w:rsidP="0027014B">
      <w:pPr>
        <w:pStyle w:val="Header"/>
        <w:jc w:val="center"/>
        <w:rPr>
          <w:rFonts w:ascii="Arial" w:hAnsi="Arial" w:cs="Arial"/>
          <w:sz w:val="28"/>
          <w:szCs w:val="28"/>
        </w:rPr>
      </w:pPr>
      <w:r>
        <w:rPr>
          <w:rFonts w:ascii="Arial" w:hAnsi="Arial" w:cs="Arial"/>
          <w:sz w:val="28"/>
          <w:szCs w:val="28"/>
        </w:rPr>
        <w:t>July 1, 2010 and July 1, 2011</w:t>
      </w:r>
    </w:p>
    <w:p w:rsidR="00931E0C" w:rsidRDefault="00931E0C" w:rsidP="00931E0C">
      <w:pPr>
        <w:pStyle w:val="Header"/>
        <w:jc w:val="center"/>
        <w:rPr>
          <w:rFonts w:ascii="Arial" w:hAnsi="Arial" w:cs="Arial"/>
          <w:sz w:val="28"/>
          <w:szCs w:val="28"/>
        </w:rPr>
      </w:pPr>
    </w:p>
    <w:p w:rsidR="005F4CA9" w:rsidRDefault="005C1828" w:rsidP="005C1828">
      <w:pPr>
        <w:pStyle w:val="Header"/>
        <w:rPr>
          <w:rFonts w:ascii="Arial" w:hAnsi="Arial" w:cs="Arial"/>
          <w:sz w:val="20"/>
          <w:szCs w:val="20"/>
        </w:rPr>
      </w:pPr>
      <w:r w:rsidRPr="005C1828">
        <w:rPr>
          <w:rFonts w:ascii="Arial" w:hAnsi="Arial" w:cs="Arial"/>
          <w:sz w:val="20"/>
          <w:szCs w:val="20"/>
        </w:rPr>
        <w:t xml:space="preserve">In </w:t>
      </w:r>
      <w:r w:rsidR="00E866C6">
        <w:rPr>
          <w:rFonts w:ascii="Arial" w:hAnsi="Arial" w:cs="Arial"/>
          <w:sz w:val="20"/>
          <w:szCs w:val="20"/>
        </w:rPr>
        <w:t>July</w:t>
      </w:r>
      <w:r w:rsidRPr="005C1828">
        <w:rPr>
          <w:rFonts w:ascii="Arial" w:hAnsi="Arial" w:cs="Arial"/>
          <w:sz w:val="20"/>
          <w:szCs w:val="20"/>
        </w:rPr>
        <w:t xml:space="preserve"> 2012 </w:t>
      </w:r>
      <w:r>
        <w:rPr>
          <w:rFonts w:ascii="Arial" w:hAnsi="Arial" w:cs="Arial"/>
          <w:sz w:val="20"/>
          <w:szCs w:val="20"/>
        </w:rPr>
        <w:t xml:space="preserve">the Los Angeles County </w:t>
      </w:r>
      <w:r w:rsidR="00E866C6">
        <w:rPr>
          <w:rFonts w:ascii="Arial" w:hAnsi="Arial" w:cs="Arial"/>
          <w:sz w:val="20"/>
          <w:szCs w:val="20"/>
        </w:rPr>
        <w:t>Internal Services Department</w:t>
      </w:r>
      <w:r>
        <w:rPr>
          <w:rFonts w:ascii="Arial" w:hAnsi="Arial" w:cs="Arial"/>
          <w:sz w:val="20"/>
          <w:szCs w:val="20"/>
        </w:rPr>
        <w:t xml:space="preserve"> contracted with </w:t>
      </w:r>
      <w:r w:rsidRPr="005C1828">
        <w:rPr>
          <w:rFonts w:ascii="Arial" w:hAnsi="Arial" w:cs="Arial"/>
          <w:sz w:val="20"/>
          <w:szCs w:val="20"/>
        </w:rPr>
        <w:t>Hedderson Demographic Services</w:t>
      </w:r>
      <w:r>
        <w:rPr>
          <w:rFonts w:ascii="Arial" w:hAnsi="Arial" w:cs="Arial"/>
          <w:sz w:val="20"/>
          <w:szCs w:val="20"/>
        </w:rPr>
        <w:t xml:space="preserve"> to provide population </w:t>
      </w:r>
      <w:r w:rsidR="005F4CA9">
        <w:rPr>
          <w:rFonts w:ascii="Arial" w:hAnsi="Arial" w:cs="Arial"/>
          <w:sz w:val="20"/>
          <w:szCs w:val="20"/>
        </w:rPr>
        <w:t xml:space="preserve">and poverty </w:t>
      </w:r>
      <w:r>
        <w:rPr>
          <w:rFonts w:ascii="Arial" w:hAnsi="Arial" w:cs="Arial"/>
          <w:sz w:val="20"/>
          <w:szCs w:val="20"/>
        </w:rPr>
        <w:t>estimates by census tract</w:t>
      </w:r>
      <w:r w:rsidR="00D6297C">
        <w:rPr>
          <w:rFonts w:ascii="Arial" w:hAnsi="Arial" w:cs="Arial"/>
          <w:sz w:val="20"/>
          <w:szCs w:val="20"/>
        </w:rPr>
        <w:t>-city split</w:t>
      </w:r>
      <w:r w:rsidR="00E866C6">
        <w:rPr>
          <w:rFonts w:ascii="Arial" w:hAnsi="Arial" w:cs="Arial"/>
          <w:sz w:val="20"/>
          <w:szCs w:val="20"/>
        </w:rPr>
        <w:t xml:space="preserve"> </w:t>
      </w:r>
      <w:r>
        <w:rPr>
          <w:rFonts w:ascii="Arial" w:hAnsi="Arial" w:cs="Arial"/>
          <w:sz w:val="20"/>
          <w:szCs w:val="20"/>
        </w:rPr>
        <w:t xml:space="preserve">areas </w:t>
      </w:r>
      <w:r w:rsidR="00931E0C">
        <w:rPr>
          <w:rFonts w:ascii="Arial" w:hAnsi="Arial" w:cs="Arial"/>
          <w:sz w:val="20"/>
          <w:szCs w:val="20"/>
        </w:rPr>
        <w:t>by age, race-ethnicity and sex for 2010 and 2011.</w:t>
      </w:r>
      <w:r w:rsidR="00D6297C">
        <w:rPr>
          <w:rFonts w:ascii="Arial" w:hAnsi="Arial" w:cs="Arial"/>
          <w:sz w:val="20"/>
          <w:szCs w:val="20"/>
        </w:rPr>
        <w:t xml:space="preserve"> </w:t>
      </w:r>
      <w:r w:rsidR="00B6394F">
        <w:rPr>
          <w:rFonts w:ascii="Arial" w:hAnsi="Arial" w:cs="Arial"/>
          <w:sz w:val="20"/>
          <w:szCs w:val="20"/>
        </w:rPr>
        <w:t>We describe in the follo</w:t>
      </w:r>
      <w:r w:rsidR="00E27D5B">
        <w:rPr>
          <w:rFonts w:ascii="Arial" w:hAnsi="Arial" w:cs="Arial"/>
          <w:sz w:val="20"/>
          <w:szCs w:val="20"/>
        </w:rPr>
        <w:t>wing documentation the estimate</w:t>
      </w:r>
      <w:r w:rsidR="00B6394F">
        <w:rPr>
          <w:rFonts w:ascii="Arial" w:hAnsi="Arial" w:cs="Arial"/>
          <w:sz w:val="20"/>
          <w:szCs w:val="20"/>
        </w:rPr>
        <w:t xml:space="preserve"> data sets and the methods used to obtain them.</w:t>
      </w:r>
      <w:r w:rsidR="007C47BF">
        <w:rPr>
          <w:rFonts w:ascii="Arial" w:hAnsi="Arial" w:cs="Arial"/>
          <w:sz w:val="20"/>
          <w:szCs w:val="20"/>
        </w:rPr>
        <w:t xml:space="preserve"> </w:t>
      </w:r>
    </w:p>
    <w:p w:rsidR="005F4CA9" w:rsidRDefault="005F4CA9" w:rsidP="005C1828">
      <w:pPr>
        <w:pStyle w:val="Header"/>
        <w:rPr>
          <w:rFonts w:ascii="Arial" w:hAnsi="Arial" w:cs="Arial"/>
          <w:sz w:val="20"/>
          <w:szCs w:val="20"/>
        </w:rPr>
      </w:pPr>
    </w:p>
    <w:p w:rsidR="00C71D7F" w:rsidRDefault="005F4CA9" w:rsidP="005C1828">
      <w:pPr>
        <w:pStyle w:val="Header"/>
        <w:rPr>
          <w:rFonts w:ascii="Arial" w:hAnsi="Arial" w:cs="Arial"/>
          <w:sz w:val="20"/>
          <w:szCs w:val="20"/>
        </w:rPr>
      </w:pPr>
      <w:r>
        <w:rPr>
          <w:rFonts w:ascii="Arial" w:hAnsi="Arial" w:cs="Arial"/>
          <w:sz w:val="20"/>
          <w:szCs w:val="20"/>
        </w:rPr>
        <w:t xml:space="preserve">The Race-Ethnicity categories specified by the contract were all Hispanics and 5 Non-Hispanic groups: White, African American, American Indian, Asian, and Pacific Islander. The 2010 Census counts for Non-Hispanic “Other” and Non-Hispanic “Multiracial” were distributed into the 5 Non-Hispanic groups based on their proportion of the population in each tract-city split by age and sex. </w:t>
      </w:r>
      <w:r w:rsidR="007C47BF">
        <w:rPr>
          <w:rFonts w:ascii="Arial" w:hAnsi="Arial" w:cs="Arial"/>
          <w:sz w:val="20"/>
          <w:szCs w:val="20"/>
        </w:rPr>
        <w:t>A</w:t>
      </w:r>
      <w:r w:rsidR="000A56CE">
        <w:rPr>
          <w:rFonts w:ascii="Arial" w:hAnsi="Arial" w:cs="Arial"/>
          <w:sz w:val="20"/>
          <w:szCs w:val="20"/>
        </w:rPr>
        <w:t xml:space="preserve">nother contract specification was that </w:t>
      </w:r>
      <w:r w:rsidR="007C47BF">
        <w:rPr>
          <w:rFonts w:ascii="Arial" w:hAnsi="Arial" w:cs="Arial"/>
          <w:sz w:val="20"/>
          <w:szCs w:val="20"/>
        </w:rPr>
        <w:t>the estimates be consistent with the official state estimates for county and city populations produced annually by the California Department of Finance, Demographic Research Unit.</w:t>
      </w:r>
    </w:p>
    <w:p w:rsidR="00B6394F" w:rsidRDefault="00B6394F" w:rsidP="005C1828">
      <w:pPr>
        <w:pStyle w:val="Header"/>
        <w:rPr>
          <w:rFonts w:ascii="Arial" w:hAnsi="Arial" w:cs="Arial"/>
          <w:sz w:val="20"/>
          <w:szCs w:val="20"/>
        </w:rPr>
      </w:pPr>
    </w:p>
    <w:p w:rsidR="007E2217" w:rsidRPr="004906C9" w:rsidRDefault="007E2217" w:rsidP="007E2217">
      <w:pPr>
        <w:pStyle w:val="Header"/>
        <w:rPr>
          <w:rFonts w:ascii="Arial" w:hAnsi="Arial" w:cs="Arial"/>
          <w:sz w:val="22"/>
          <w:szCs w:val="22"/>
          <w:highlight w:val="yellow"/>
        </w:rPr>
      </w:pPr>
    </w:p>
    <w:p w:rsidR="007E2217" w:rsidRPr="007E2217" w:rsidRDefault="007E2217" w:rsidP="007E2217">
      <w:pPr>
        <w:pStyle w:val="ListParagraph"/>
        <w:numPr>
          <w:ilvl w:val="0"/>
          <w:numId w:val="3"/>
        </w:numPr>
        <w:jc w:val="both"/>
        <w:rPr>
          <w:rFonts w:ascii="Arial" w:hAnsi="Arial" w:cs="Arial"/>
          <w:sz w:val="20"/>
          <w:szCs w:val="20"/>
        </w:rPr>
      </w:pPr>
      <w:r w:rsidRPr="007E2217">
        <w:rPr>
          <w:rFonts w:ascii="Arial" w:hAnsi="Arial" w:cs="Arial"/>
          <w:b/>
          <w:bCs/>
          <w:sz w:val="20"/>
          <w:szCs w:val="20"/>
        </w:rPr>
        <w:t>Data Dictionaries and Summary Totals</w:t>
      </w:r>
    </w:p>
    <w:p w:rsidR="007E2217" w:rsidRPr="007E2217" w:rsidRDefault="007E2217" w:rsidP="007E2217">
      <w:pPr>
        <w:pStyle w:val="ListParagraph"/>
        <w:ind w:left="360"/>
        <w:jc w:val="both"/>
        <w:rPr>
          <w:rFonts w:ascii="Arial" w:hAnsi="Arial" w:cs="Arial"/>
          <w:sz w:val="20"/>
          <w:szCs w:val="20"/>
        </w:rPr>
      </w:pPr>
    </w:p>
    <w:p w:rsidR="007E2217" w:rsidRPr="007E2217" w:rsidRDefault="007E2217" w:rsidP="007E2217">
      <w:pPr>
        <w:pStyle w:val="ListParagraph"/>
        <w:ind w:left="0"/>
        <w:jc w:val="both"/>
        <w:rPr>
          <w:rFonts w:ascii="Arial" w:hAnsi="Arial" w:cs="Arial"/>
          <w:sz w:val="20"/>
          <w:szCs w:val="20"/>
        </w:rPr>
      </w:pPr>
      <w:r w:rsidRPr="007E2217">
        <w:rPr>
          <w:rFonts w:ascii="Arial" w:hAnsi="Arial" w:cs="Arial"/>
          <w:sz w:val="20"/>
          <w:szCs w:val="20"/>
        </w:rPr>
        <w:t>Appendix A contains the data dictionaries (Table A.1</w:t>
      </w:r>
      <w:r>
        <w:rPr>
          <w:rFonts w:ascii="Arial" w:hAnsi="Arial" w:cs="Arial"/>
          <w:sz w:val="20"/>
          <w:szCs w:val="20"/>
        </w:rPr>
        <w:t xml:space="preserve"> for 2010 and Table A.2 for 2011</w:t>
      </w:r>
      <w:r w:rsidRPr="007E2217">
        <w:rPr>
          <w:rFonts w:ascii="Arial" w:hAnsi="Arial" w:cs="Arial"/>
          <w:sz w:val="20"/>
          <w:szCs w:val="20"/>
        </w:rPr>
        <w:t>) and summary totals (Table A.</w:t>
      </w:r>
      <w:r>
        <w:rPr>
          <w:rFonts w:ascii="Arial" w:hAnsi="Arial" w:cs="Arial"/>
          <w:sz w:val="20"/>
          <w:szCs w:val="20"/>
        </w:rPr>
        <w:t>3 for 2010 and Table A.4 for 2011</w:t>
      </w:r>
      <w:r w:rsidRPr="007E2217">
        <w:rPr>
          <w:rFonts w:ascii="Arial" w:hAnsi="Arial" w:cs="Arial"/>
          <w:sz w:val="20"/>
          <w:szCs w:val="20"/>
        </w:rPr>
        <w:t>) for the population and poverty estimate files for July 1, 2012.</w:t>
      </w:r>
    </w:p>
    <w:p w:rsidR="00D42C65" w:rsidRDefault="00D42C65" w:rsidP="00D42C65">
      <w:pPr>
        <w:pStyle w:val="Header"/>
        <w:rPr>
          <w:rFonts w:ascii="Arial" w:hAnsi="Arial" w:cs="Arial"/>
          <w:sz w:val="20"/>
          <w:szCs w:val="20"/>
        </w:rPr>
      </w:pPr>
    </w:p>
    <w:p w:rsidR="00B552E6" w:rsidRDefault="00B552E6" w:rsidP="00D42C65">
      <w:pPr>
        <w:pStyle w:val="Header"/>
        <w:rPr>
          <w:rFonts w:ascii="Arial" w:hAnsi="Arial" w:cs="Arial"/>
          <w:sz w:val="20"/>
          <w:szCs w:val="20"/>
        </w:rPr>
      </w:pPr>
    </w:p>
    <w:p w:rsidR="00B552E6" w:rsidRPr="00B552E6" w:rsidRDefault="00B552E6" w:rsidP="00B552E6">
      <w:pPr>
        <w:pStyle w:val="ListParagraph"/>
        <w:numPr>
          <w:ilvl w:val="0"/>
          <w:numId w:val="3"/>
        </w:numPr>
        <w:jc w:val="both"/>
        <w:rPr>
          <w:rFonts w:ascii="Arial" w:hAnsi="Arial" w:cs="Arial"/>
          <w:sz w:val="20"/>
          <w:szCs w:val="20"/>
        </w:rPr>
      </w:pPr>
      <w:r w:rsidRPr="007311E2">
        <w:rPr>
          <w:rFonts w:ascii="Arial" w:hAnsi="Arial" w:cs="Arial"/>
          <w:b/>
          <w:sz w:val="20"/>
          <w:szCs w:val="20"/>
        </w:rPr>
        <w:t>Estimation Methods</w:t>
      </w:r>
    </w:p>
    <w:p w:rsidR="00B552E6" w:rsidRPr="00B552E6" w:rsidRDefault="00B552E6" w:rsidP="00B552E6">
      <w:pPr>
        <w:jc w:val="both"/>
        <w:rPr>
          <w:rFonts w:ascii="Arial" w:hAnsi="Arial" w:cs="Arial"/>
          <w:sz w:val="20"/>
          <w:szCs w:val="20"/>
        </w:rPr>
      </w:pPr>
    </w:p>
    <w:p w:rsidR="00D42C65" w:rsidRPr="00102E61" w:rsidRDefault="00334799" w:rsidP="00D42C65">
      <w:pPr>
        <w:pStyle w:val="Header"/>
        <w:rPr>
          <w:rFonts w:ascii="Arial" w:hAnsi="Arial" w:cs="Arial"/>
          <w:b/>
          <w:sz w:val="20"/>
          <w:szCs w:val="20"/>
        </w:rPr>
      </w:pPr>
      <w:r>
        <w:rPr>
          <w:rFonts w:ascii="Arial" w:hAnsi="Arial" w:cs="Arial"/>
          <w:b/>
          <w:sz w:val="20"/>
          <w:szCs w:val="20"/>
        </w:rPr>
        <w:t>2.1 Data Sources</w:t>
      </w:r>
    </w:p>
    <w:p w:rsidR="00D42C65" w:rsidRDefault="00D42C65" w:rsidP="00D42C65">
      <w:pPr>
        <w:pStyle w:val="Header"/>
        <w:rPr>
          <w:rFonts w:ascii="Arial" w:hAnsi="Arial" w:cs="Arial"/>
          <w:sz w:val="20"/>
          <w:szCs w:val="20"/>
        </w:rPr>
      </w:pPr>
    </w:p>
    <w:p w:rsidR="00B552E6" w:rsidRDefault="00D42C65" w:rsidP="00B552E6">
      <w:pPr>
        <w:rPr>
          <w:rFonts w:ascii="Arial" w:hAnsi="Arial" w:cs="Arial"/>
          <w:b/>
          <w:sz w:val="20"/>
          <w:szCs w:val="20"/>
        </w:rPr>
      </w:pPr>
      <w:r>
        <w:rPr>
          <w:rFonts w:ascii="Arial" w:hAnsi="Arial" w:cs="Arial"/>
          <w:sz w:val="20"/>
          <w:szCs w:val="20"/>
        </w:rPr>
        <w:t xml:space="preserve">The base population numbers came from the 2010 Census. We updated these numbers to July 1, 2010, using city estimates from the California Department of Finance, Demographic Research Unit. </w:t>
      </w:r>
      <w:r w:rsidR="00280B8F">
        <w:rPr>
          <w:rFonts w:ascii="Arial" w:hAnsi="Arial" w:cs="Arial"/>
          <w:sz w:val="20"/>
          <w:szCs w:val="20"/>
        </w:rPr>
        <w:t xml:space="preserve">The data sources </w:t>
      </w:r>
      <w:r w:rsidR="00B552E6">
        <w:rPr>
          <w:rFonts w:ascii="Arial" w:hAnsi="Arial" w:cs="Arial"/>
          <w:sz w:val="20"/>
          <w:szCs w:val="20"/>
        </w:rPr>
        <w:t xml:space="preserve">for this work </w:t>
      </w:r>
      <w:r w:rsidR="00280B8F">
        <w:rPr>
          <w:rFonts w:ascii="Arial" w:hAnsi="Arial" w:cs="Arial"/>
          <w:sz w:val="20"/>
          <w:szCs w:val="20"/>
        </w:rPr>
        <w:t xml:space="preserve">are listed in </w:t>
      </w:r>
      <w:r w:rsidR="00280B8F" w:rsidRPr="00B552E6">
        <w:rPr>
          <w:rFonts w:ascii="Arial" w:hAnsi="Arial" w:cs="Arial"/>
          <w:b/>
          <w:sz w:val="20"/>
          <w:szCs w:val="20"/>
        </w:rPr>
        <w:t>T</w:t>
      </w:r>
      <w:r w:rsidR="00B552E6" w:rsidRPr="00B552E6">
        <w:rPr>
          <w:rFonts w:ascii="Arial" w:hAnsi="Arial" w:cs="Arial"/>
          <w:b/>
          <w:sz w:val="20"/>
          <w:szCs w:val="20"/>
        </w:rPr>
        <w:t xml:space="preserve">able </w:t>
      </w:r>
      <w:proofErr w:type="gramStart"/>
      <w:r w:rsidR="00B552E6">
        <w:rPr>
          <w:rFonts w:ascii="Arial" w:hAnsi="Arial" w:cs="Arial"/>
          <w:b/>
          <w:sz w:val="20"/>
          <w:szCs w:val="20"/>
        </w:rPr>
        <w:t>2.</w:t>
      </w:r>
      <w:r w:rsidR="00B552E6" w:rsidRPr="00B552E6">
        <w:rPr>
          <w:rFonts w:ascii="Arial" w:hAnsi="Arial" w:cs="Arial"/>
          <w:b/>
          <w:sz w:val="20"/>
          <w:szCs w:val="20"/>
        </w:rPr>
        <w:t>1</w:t>
      </w:r>
      <w:r w:rsidR="00B552E6">
        <w:rPr>
          <w:rFonts w:ascii="Arial" w:hAnsi="Arial" w:cs="Arial"/>
          <w:b/>
          <w:sz w:val="20"/>
          <w:szCs w:val="20"/>
        </w:rPr>
        <w:t xml:space="preserve"> </w:t>
      </w:r>
      <w:r w:rsidR="00B552E6" w:rsidRPr="00B552E6">
        <w:rPr>
          <w:rFonts w:ascii="Arial" w:hAnsi="Arial" w:cs="Arial"/>
          <w:b/>
          <w:sz w:val="20"/>
          <w:szCs w:val="20"/>
        </w:rPr>
        <w:t xml:space="preserve"> </w:t>
      </w:r>
      <w:r w:rsidR="00B552E6">
        <w:rPr>
          <w:rFonts w:ascii="Arial" w:hAnsi="Arial" w:cs="Arial"/>
          <w:b/>
          <w:sz w:val="20"/>
          <w:szCs w:val="20"/>
        </w:rPr>
        <w:t>Input</w:t>
      </w:r>
      <w:proofErr w:type="gramEnd"/>
      <w:r w:rsidR="00B552E6">
        <w:rPr>
          <w:rFonts w:ascii="Arial" w:hAnsi="Arial" w:cs="Arial"/>
          <w:b/>
          <w:sz w:val="20"/>
          <w:szCs w:val="20"/>
        </w:rPr>
        <w:t xml:space="preserve"> Datasets Source List</w:t>
      </w:r>
    </w:p>
    <w:p w:rsidR="00334799" w:rsidRDefault="00334799">
      <w:pPr>
        <w:rPr>
          <w:rFonts w:ascii="Arial" w:hAnsi="Arial" w:cs="Arial"/>
          <w:sz w:val="20"/>
          <w:szCs w:val="20"/>
        </w:rPr>
      </w:pPr>
      <w:r>
        <w:rPr>
          <w:rFonts w:ascii="Arial" w:hAnsi="Arial" w:cs="Arial"/>
          <w:sz w:val="20"/>
          <w:szCs w:val="20"/>
        </w:rPr>
        <w:br w:type="page"/>
      </w:r>
    </w:p>
    <w:p w:rsidR="00280B8F" w:rsidRDefault="00280B8F" w:rsidP="00280B8F">
      <w:pPr>
        <w:jc w:val="center"/>
        <w:rPr>
          <w:rFonts w:ascii="Arial" w:hAnsi="Arial" w:cs="Arial"/>
          <w:b/>
          <w:sz w:val="20"/>
          <w:szCs w:val="20"/>
        </w:rPr>
      </w:pPr>
      <w:r>
        <w:rPr>
          <w:rFonts w:ascii="Arial" w:hAnsi="Arial" w:cs="Arial"/>
          <w:b/>
          <w:sz w:val="20"/>
          <w:szCs w:val="20"/>
        </w:rPr>
        <w:t xml:space="preserve">Table </w:t>
      </w:r>
      <w:r w:rsidR="00B552E6">
        <w:rPr>
          <w:rFonts w:ascii="Arial" w:hAnsi="Arial" w:cs="Arial"/>
          <w:b/>
          <w:sz w:val="20"/>
          <w:szCs w:val="20"/>
        </w:rPr>
        <w:t>2.</w:t>
      </w:r>
      <w:r>
        <w:rPr>
          <w:rFonts w:ascii="Arial" w:hAnsi="Arial" w:cs="Arial"/>
          <w:b/>
          <w:sz w:val="20"/>
          <w:szCs w:val="20"/>
        </w:rPr>
        <w:t>1</w:t>
      </w:r>
    </w:p>
    <w:p w:rsidR="00280B8F" w:rsidRDefault="00280B8F" w:rsidP="00280B8F">
      <w:pPr>
        <w:jc w:val="center"/>
        <w:rPr>
          <w:rFonts w:ascii="Arial" w:hAnsi="Arial" w:cs="Arial"/>
          <w:b/>
          <w:sz w:val="20"/>
          <w:szCs w:val="20"/>
        </w:rPr>
      </w:pPr>
      <w:r>
        <w:rPr>
          <w:rFonts w:ascii="Arial" w:hAnsi="Arial" w:cs="Arial"/>
          <w:b/>
          <w:sz w:val="20"/>
          <w:szCs w:val="20"/>
        </w:rPr>
        <w:t xml:space="preserve">Input </w:t>
      </w:r>
      <w:r w:rsidR="00B552E6">
        <w:rPr>
          <w:rFonts w:ascii="Arial" w:hAnsi="Arial" w:cs="Arial"/>
          <w:b/>
          <w:sz w:val="20"/>
          <w:szCs w:val="20"/>
        </w:rPr>
        <w:t>D</w:t>
      </w:r>
      <w:r>
        <w:rPr>
          <w:rFonts w:ascii="Arial" w:hAnsi="Arial" w:cs="Arial"/>
          <w:b/>
          <w:sz w:val="20"/>
          <w:szCs w:val="20"/>
        </w:rPr>
        <w:t>atasets Source List</w:t>
      </w:r>
    </w:p>
    <w:p w:rsidR="00280B8F" w:rsidRDefault="00280B8F" w:rsidP="00D42C65">
      <w:pPr>
        <w:pStyle w:val="NormalWeb"/>
        <w:spacing w:before="0" w:beforeAutospacing="0" w:after="0" w:afterAutospacing="0"/>
        <w:rPr>
          <w:rFonts w:ascii="Arial" w:hAnsi="Arial" w:cs="Arial"/>
          <w:sz w:val="20"/>
          <w:szCs w:val="20"/>
        </w:rPr>
      </w:pPr>
      <w:r w:rsidRPr="00F85B14">
        <w:rPr>
          <w:noProof/>
          <w:lang w:eastAsia="ko-KR"/>
        </w:rPr>
        <w:drawing>
          <wp:inline distT="0" distB="0" distL="0" distR="0" wp14:anchorId="0F19806F" wp14:editId="6060E66F">
            <wp:extent cx="6267450" cy="67051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3841" cy="6701287"/>
                    </a:xfrm>
                    <a:prstGeom prst="rect">
                      <a:avLst/>
                    </a:prstGeom>
                    <a:noFill/>
                    <a:ln>
                      <a:noFill/>
                    </a:ln>
                  </pic:spPr>
                </pic:pic>
              </a:graphicData>
            </a:graphic>
          </wp:inline>
        </w:drawing>
      </w:r>
    </w:p>
    <w:p w:rsidR="00280B8F" w:rsidRDefault="00280B8F" w:rsidP="00D42C65">
      <w:pPr>
        <w:pStyle w:val="NormalWeb"/>
        <w:spacing w:before="0" w:beforeAutospacing="0" w:after="0" w:afterAutospacing="0"/>
        <w:rPr>
          <w:rFonts w:ascii="Arial" w:hAnsi="Arial" w:cs="Arial"/>
          <w:sz w:val="20"/>
          <w:szCs w:val="20"/>
        </w:rPr>
      </w:pPr>
    </w:p>
    <w:p w:rsidR="00B552E6" w:rsidRDefault="00B552E6" w:rsidP="00B552E6">
      <w:pPr>
        <w:pStyle w:val="Header"/>
        <w:rPr>
          <w:rFonts w:ascii="Arial" w:hAnsi="Arial" w:cs="Arial"/>
          <w:sz w:val="20"/>
          <w:szCs w:val="20"/>
        </w:rPr>
      </w:pPr>
    </w:p>
    <w:p w:rsidR="00B552E6" w:rsidRDefault="00B552E6" w:rsidP="00B552E6">
      <w:pPr>
        <w:ind w:firstLine="720"/>
        <w:rPr>
          <w:rFonts w:ascii="Arial" w:hAnsi="Arial"/>
        </w:rPr>
      </w:pPr>
    </w:p>
    <w:p w:rsidR="00B552E6" w:rsidRDefault="00B552E6">
      <w:pPr>
        <w:rPr>
          <w:rFonts w:ascii="Arial" w:hAnsi="Arial" w:cs="Arial"/>
          <w:b/>
          <w:sz w:val="20"/>
          <w:szCs w:val="20"/>
        </w:rPr>
      </w:pPr>
      <w:r>
        <w:rPr>
          <w:rFonts w:ascii="Arial" w:hAnsi="Arial" w:cs="Arial"/>
          <w:b/>
          <w:sz w:val="20"/>
          <w:szCs w:val="20"/>
        </w:rPr>
        <w:br w:type="page"/>
      </w:r>
    </w:p>
    <w:p w:rsidR="00334799" w:rsidRDefault="00334799" w:rsidP="00334799">
      <w:pPr>
        <w:pStyle w:val="Header"/>
        <w:rPr>
          <w:rFonts w:ascii="Arial" w:hAnsi="Arial" w:cs="Arial"/>
          <w:b/>
          <w:sz w:val="20"/>
          <w:szCs w:val="20"/>
        </w:rPr>
      </w:pPr>
      <w:proofErr w:type="gramStart"/>
      <w:r w:rsidRPr="004E1504">
        <w:rPr>
          <w:rFonts w:ascii="Arial" w:hAnsi="Arial" w:cs="Arial"/>
          <w:b/>
          <w:sz w:val="20"/>
          <w:szCs w:val="20"/>
        </w:rPr>
        <w:t xml:space="preserve">2.2 </w:t>
      </w:r>
      <w:r>
        <w:rPr>
          <w:rFonts w:ascii="Arial" w:hAnsi="Arial" w:cs="Arial"/>
          <w:b/>
          <w:sz w:val="20"/>
          <w:szCs w:val="20"/>
        </w:rPr>
        <w:t xml:space="preserve"> </w:t>
      </w:r>
      <w:r w:rsidRPr="004E1504">
        <w:rPr>
          <w:rFonts w:ascii="Arial" w:hAnsi="Arial" w:cs="Arial"/>
          <w:b/>
          <w:sz w:val="20"/>
          <w:szCs w:val="20"/>
        </w:rPr>
        <w:t>Data</w:t>
      </w:r>
      <w:proofErr w:type="gramEnd"/>
      <w:r w:rsidRPr="004E1504">
        <w:rPr>
          <w:rFonts w:ascii="Arial" w:hAnsi="Arial" w:cs="Arial"/>
          <w:b/>
          <w:sz w:val="20"/>
          <w:szCs w:val="20"/>
        </w:rPr>
        <w:t xml:space="preserve"> Flow Diagrams and Narrative</w:t>
      </w:r>
    </w:p>
    <w:p w:rsidR="00334799" w:rsidRPr="004E1504" w:rsidRDefault="00334799" w:rsidP="00334799">
      <w:pPr>
        <w:pStyle w:val="Header"/>
        <w:rPr>
          <w:rFonts w:ascii="Arial" w:hAnsi="Arial" w:cs="Arial"/>
          <w:b/>
          <w:sz w:val="20"/>
          <w:szCs w:val="20"/>
        </w:rPr>
      </w:pPr>
    </w:p>
    <w:p w:rsidR="00D42C65" w:rsidRDefault="00D42C65" w:rsidP="00D42C65">
      <w:pPr>
        <w:pStyle w:val="NormalWeb"/>
        <w:spacing w:before="0" w:beforeAutospacing="0" w:after="0" w:afterAutospacing="0"/>
        <w:rPr>
          <w:rFonts w:ascii="Arial" w:hAnsi="Arial" w:cs="Arial"/>
          <w:b/>
          <w:bCs/>
          <w:sz w:val="20"/>
          <w:szCs w:val="20"/>
        </w:rPr>
      </w:pPr>
      <w:r>
        <w:rPr>
          <w:rFonts w:ascii="Arial" w:hAnsi="Arial" w:cs="Arial"/>
          <w:sz w:val="20"/>
          <w:szCs w:val="20"/>
        </w:rPr>
        <w:t xml:space="preserve">The first steps in preparing the 2010 Census data for our estimation model are illustrated below in </w:t>
      </w:r>
      <w:r w:rsidRPr="007051AA">
        <w:rPr>
          <w:rFonts w:ascii="Arial" w:hAnsi="Arial" w:cs="Arial"/>
          <w:b/>
          <w:sz w:val="20"/>
          <w:szCs w:val="20"/>
        </w:rPr>
        <w:t xml:space="preserve">Chart </w:t>
      </w:r>
      <w:r w:rsidR="00334799">
        <w:rPr>
          <w:rFonts w:ascii="Arial" w:hAnsi="Arial" w:cs="Arial"/>
          <w:b/>
          <w:sz w:val="20"/>
          <w:szCs w:val="20"/>
        </w:rPr>
        <w:t>2</w:t>
      </w:r>
      <w:r w:rsidRPr="007051AA">
        <w:rPr>
          <w:rFonts w:ascii="Arial" w:hAnsi="Arial" w:cs="Arial"/>
          <w:b/>
          <w:sz w:val="20"/>
          <w:szCs w:val="20"/>
        </w:rPr>
        <w:t>.1 Prepare Census 2010 Data</w:t>
      </w:r>
      <w:r>
        <w:rPr>
          <w:rFonts w:ascii="Arial" w:hAnsi="Arial" w:cs="Arial"/>
          <w:b/>
          <w:sz w:val="20"/>
          <w:szCs w:val="20"/>
        </w:rPr>
        <w:t xml:space="preserve"> </w:t>
      </w:r>
      <w:proofErr w:type="gramStart"/>
      <w:r w:rsidRPr="007051AA">
        <w:rPr>
          <w:rFonts w:ascii="Arial" w:hAnsi="Arial" w:cs="Arial"/>
          <w:b/>
          <w:sz w:val="20"/>
          <w:szCs w:val="20"/>
        </w:rPr>
        <w:t>For</w:t>
      </w:r>
      <w:proofErr w:type="gramEnd"/>
      <w:r w:rsidRPr="007051AA">
        <w:rPr>
          <w:rFonts w:ascii="Arial" w:hAnsi="Arial" w:cs="Arial"/>
          <w:b/>
          <w:sz w:val="20"/>
          <w:szCs w:val="20"/>
        </w:rPr>
        <w:t xml:space="preserve"> Estimation Modeling</w:t>
      </w:r>
      <w:r>
        <w:rPr>
          <w:rFonts w:ascii="Arial" w:hAnsi="Arial" w:cs="Arial"/>
          <w:b/>
          <w:sz w:val="20"/>
          <w:szCs w:val="20"/>
        </w:rPr>
        <w:t xml:space="preserve">. </w:t>
      </w:r>
      <w:r w:rsidRPr="0027533D">
        <w:rPr>
          <w:rFonts w:ascii="Arial" w:hAnsi="Arial" w:cs="Arial"/>
          <w:sz w:val="20"/>
          <w:szCs w:val="20"/>
        </w:rPr>
        <w:t>The steps in making the July 1, 2010 population estimates are illustrated in</w:t>
      </w:r>
      <w:r>
        <w:rPr>
          <w:rFonts w:ascii="Arial" w:hAnsi="Arial" w:cs="Arial"/>
          <w:b/>
          <w:sz w:val="20"/>
          <w:szCs w:val="20"/>
        </w:rPr>
        <w:t xml:space="preserve"> </w:t>
      </w:r>
      <w:r w:rsidRPr="0027533D">
        <w:rPr>
          <w:rFonts w:ascii="Arial" w:hAnsi="Arial" w:cs="Arial"/>
          <w:b/>
          <w:bCs/>
          <w:sz w:val="20"/>
          <w:szCs w:val="20"/>
        </w:rPr>
        <w:t xml:space="preserve">Chart </w:t>
      </w:r>
      <w:r w:rsidR="00334799">
        <w:rPr>
          <w:rFonts w:ascii="Arial" w:hAnsi="Arial" w:cs="Arial"/>
          <w:b/>
          <w:bCs/>
          <w:sz w:val="20"/>
          <w:szCs w:val="20"/>
        </w:rPr>
        <w:t>2</w:t>
      </w:r>
      <w:r w:rsidRPr="0027533D">
        <w:rPr>
          <w:rFonts w:ascii="Arial" w:hAnsi="Arial" w:cs="Arial"/>
          <w:b/>
          <w:bCs/>
          <w:sz w:val="20"/>
          <w:szCs w:val="20"/>
        </w:rPr>
        <w:t>.2</w:t>
      </w:r>
      <w:r>
        <w:rPr>
          <w:rFonts w:ascii="Arial" w:hAnsi="Arial" w:cs="Arial"/>
          <w:b/>
          <w:bCs/>
          <w:sz w:val="20"/>
          <w:szCs w:val="20"/>
        </w:rPr>
        <w:t xml:space="preserve"> </w:t>
      </w:r>
      <w:r w:rsidRPr="0027533D">
        <w:rPr>
          <w:rFonts w:ascii="Arial" w:hAnsi="Arial" w:cs="Arial"/>
          <w:b/>
          <w:bCs/>
          <w:sz w:val="20"/>
          <w:szCs w:val="20"/>
        </w:rPr>
        <w:t>Estimate July 1, 2010 Population</w:t>
      </w:r>
      <w:r>
        <w:rPr>
          <w:rFonts w:ascii="Arial" w:hAnsi="Arial" w:cs="Arial"/>
          <w:b/>
          <w:bCs/>
          <w:sz w:val="20"/>
          <w:szCs w:val="20"/>
        </w:rPr>
        <w:t>.</w:t>
      </w:r>
    </w:p>
    <w:p w:rsidR="00D42C65" w:rsidRDefault="00D42C65" w:rsidP="00D42C65">
      <w:pPr>
        <w:pStyle w:val="NormalWeb"/>
        <w:spacing w:before="0" w:beforeAutospacing="0" w:after="0" w:afterAutospacing="0"/>
        <w:rPr>
          <w:rFonts w:ascii="Arial" w:hAnsi="Arial" w:cs="Arial"/>
          <w:b/>
          <w:bCs/>
          <w:sz w:val="20"/>
          <w:szCs w:val="20"/>
        </w:rPr>
      </w:pPr>
    </w:p>
    <w:p w:rsidR="00D42C65" w:rsidRDefault="00D42C65" w:rsidP="00D42C65">
      <w:pPr>
        <w:pStyle w:val="NormalWeb"/>
        <w:spacing w:before="0" w:beforeAutospacing="0" w:after="0" w:afterAutospacing="0"/>
        <w:rPr>
          <w:rFonts w:ascii="Arial" w:hAnsi="Arial" w:cs="Arial"/>
          <w:b/>
          <w:bCs/>
          <w:sz w:val="20"/>
          <w:szCs w:val="20"/>
        </w:rPr>
      </w:pPr>
      <w:r w:rsidRPr="007311E2">
        <w:rPr>
          <w:rFonts w:ascii="Arial" w:hAnsi="Arial" w:cs="Arial"/>
          <w:bCs/>
          <w:sz w:val="20"/>
          <w:szCs w:val="20"/>
        </w:rPr>
        <w:t xml:space="preserve">We obtained </w:t>
      </w:r>
      <w:r>
        <w:rPr>
          <w:rFonts w:ascii="Arial" w:hAnsi="Arial" w:cs="Arial"/>
          <w:bCs/>
          <w:sz w:val="20"/>
          <w:szCs w:val="20"/>
        </w:rPr>
        <w:t xml:space="preserve">preliminary </w:t>
      </w:r>
      <w:r w:rsidRPr="007311E2">
        <w:rPr>
          <w:rFonts w:ascii="Arial" w:hAnsi="Arial" w:cs="Arial"/>
          <w:bCs/>
          <w:sz w:val="20"/>
          <w:szCs w:val="20"/>
        </w:rPr>
        <w:t xml:space="preserve">July 1, 2011 population estimates by applying mortality and migration rates to the July 1, 2010 estimates. For the less than age 1 population, we used Census 2010 data to estimate the net effects of births, deaths and migration for that group.  </w:t>
      </w:r>
      <w:r>
        <w:rPr>
          <w:rFonts w:ascii="Arial" w:hAnsi="Arial" w:cs="Arial"/>
          <w:bCs/>
          <w:sz w:val="20"/>
          <w:szCs w:val="20"/>
        </w:rPr>
        <w:t xml:space="preserve">The preliminary estimates were than controlled to city estimates from the California Department of Finance, Demographic Research Unit. These processes are illustrated below in </w:t>
      </w:r>
      <w:r w:rsidRPr="00981176">
        <w:rPr>
          <w:rFonts w:ascii="Arial" w:hAnsi="Arial" w:cs="Arial"/>
          <w:b/>
          <w:bCs/>
          <w:sz w:val="20"/>
          <w:szCs w:val="20"/>
        </w:rPr>
        <w:t xml:space="preserve">Chart </w:t>
      </w:r>
      <w:r w:rsidR="00334799">
        <w:rPr>
          <w:rFonts w:ascii="Arial" w:hAnsi="Arial" w:cs="Arial"/>
          <w:b/>
          <w:bCs/>
          <w:sz w:val="20"/>
          <w:szCs w:val="20"/>
        </w:rPr>
        <w:t>2</w:t>
      </w:r>
      <w:r w:rsidRPr="00981176">
        <w:rPr>
          <w:rFonts w:ascii="Arial" w:hAnsi="Arial" w:cs="Arial"/>
          <w:b/>
          <w:bCs/>
          <w:sz w:val="20"/>
          <w:szCs w:val="20"/>
        </w:rPr>
        <w:t>.3 Estimate July 1, 2011 Population</w:t>
      </w:r>
      <w:r>
        <w:rPr>
          <w:rFonts w:ascii="Arial" w:hAnsi="Arial" w:cs="Arial"/>
          <w:b/>
          <w:bCs/>
          <w:sz w:val="20"/>
          <w:szCs w:val="20"/>
        </w:rPr>
        <w:t>.</w:t>
      </w:r>
    </w:p>
    <w:p w:rsidR="00D42C65" w:rsidRDefault="00D42C65" w:rsidP="00D42C65">
      <w:pPr>
        <w:pStyle w:val="NormalWeb"/>
        <w:spacing w:before="0" w:beforeAutospacing="0" w:after="0" w:afterAutospacing="0"/>
        <w:rPr>
          <w:rFonts w:ascii="Arial" w:hAnsi="Arial" w:cs="Arial"/>
          <w:b/>
          <w:bCs/>
          <w:sz w:val="20"/>
          <w:szCs w:val="20"/>
        </w:rPr>
      </w:pPr>
    </w:p>
    <w:p w:rsidR="00D42C65" w:rsidRDefault="00D42C65" w:rsidP="00D42C65">
      <w:pPr>
        <w:pStyle w:val="NormalWeb"/>
        <w:spacing w:before="0" w:beforeAutospacing="0" w:after="0" w:afterAutospacing="0"/>
        <w:rPr>
          <w:rFonts w:ascii="Arial" w:hAnsi="Arial" w:cs="Arial"/>
          <w:b/>
          <w:bCs/>
          <w:sz w:val="20"/>
          <w:szCs w:val="20"/>
        </w:rPr>
      </w:pPr>
    </w:p>
    <w:p w:rsidR="00D42C65" w:rsidRDefault="00D42C65" w:rsidP="00D42C65">
      <w:pPr>
        <w:pStyle w:val="NormalWeb"/>
        <w:spacing w:before="0" w:beforeAutospacing="0" w:after="0" w:afterAutospacing="0"/>
        <w:rPr>
          <w:rFonts w:ascii="Arial" w:hAnsi="Arial" w:cs="Arial"/>
          <w:b/>
          <w:bCs/>
          <w:sz w:val="20"/>
          <w:szCs w:val="20"/>
        </w:rPr>
      </w:pPr>
      <w:r>
        <w:rPr>
          <w:rFonts w:ascii="Arial" w:hAnsi="Arial" w:cs="Arial"/>
          <w:b/>
          <w:bCs/>
          <w:sz w:val="20"/>
          <w:szCs w:val="20"/>
        </w:rPr>
        <w:t>Detail Steps</w:t>
      </w:r>
    </w:p>
    <w:p w:rsidR="00D42C65" w:rsidRDefault="00D42C65" w:rsidP="00D42C65">
      <w:pPr>
        <w:pStyle w:val="NormalWeb"/>
        <w:spacing w:before="0" w:beforeAutospacing="0" w:after="0" w:afterAutospacing="0"/>
        <w:rPr>
          <w:rFonts w:ascii="Arial" w:hAnsi="Arial" w:cs="Arial"/>
          <w:b/>
          <w:bCs/>
          <w:sz w:val="20"/>
          <w:szCs w:val="20"/>
        </w:rPr>
      </w:pPr>
    </w:p>
    <w:p w:rsidR="00D42C65" w:rsidRPr="00724834" w:rsidRDefault="00D42C65" w:rsidP="00D42C65">
      <w:pPr>
        <w:jc w:val="center"/>
        <w:rPr>
          <w:rFonts w:ascii="Arial" w:hAnsi="Arial" w:cs="Arial"/>
          <w:i/>
          <w:sz w:val="20"/>
          <w:szCs w:val="20"/>
        </w:rPr>
      </w:pPr>
      <w:r w:rsidRPr="00724834">
        <w:rPr>
          <w:rFonts w:ascii="Arial" w:hAnsi="Arial" w:cs="Arial"/>
          <w:i/>
          <w:sz w:val="20"/>
          <w:szCs w:val="20"/>
        </w:rPr>
        <w:t>2010 Census Data Preparation and July 1, 2010 Population Estimates:</w:t>
      </w:r>
    </w:p>
    <w:p w:rsidR="00D42C65" w:rsidRPr="00724834" w:rsidRDefault="00D42C65" w:rsidP="00D42C65">
      <w:pPr>
        <w:rPr>
          <w:rFonts w:ascii="Arial" w:hAnsi="Arial" w:cs="Arial"/>
          <w:i/>
          <w:sz w:val="20"/>
          <w:szCs w:val="20"/>
        </w:rPr>
      </w:pPr>
    </w:p>
    <w:p w:rsidR="00D42C65" w:rsidRDefault="00D42C65" w:rsidP="00D42C65">
      <w:pPr>
        <w:pStyle w:val="ListParagraph"/>
        <w:numPr>
          <w:ilvl w:val="0"/>
          <w:numId w:val="7"/>
        </w:numPr>
        <w:rPr>
          <w:rFonts w:ascii="Arial" w:hAnsi="Arial" w:cs="Arial"/>
          <w:sz w:val="20"/>
          <w:szCs w:val="20"/>
        </w:rPr>
      </w:pPr>
      <w:r w:rsidRPr="00C833AC">
        <w:rPr>
          <w:rFonts w:ascii="Arial" w:hAnsi="Arial" w:cs="Arial"/>
          <w:sz w:val="20"/>
          <w:szCs w:val="20"/>
        </w:rPr>
        <w:t>The 2010 Census tract</w:t>
      </w:r>
      <w:r>
        <w:rPr>
          <w:rFonts w:ascii="Arial" w:hAnsi="Arial" w:cs="Arial"/>
          <w:sz w:val="20"/>
          <w:szCs w:val="20"/>
        </w:rPr>
        <w:t xml:space="preserve">-city split area </w:t>
      </w:r>
      <w:r w:rsidRPr="00C833AC">
        <w:rPr>
          <w:rFonts w:ascii="Arial" w:hAnsi="Arial" w:cs="Arial"/>
          <w:sz w:val="20"/>
          <w:szCs w:val="20"/>
        </w:rPr>
        <w:t xml:space="preserve">population found in Summary File 1 </w:t>
      </w:r>
      <w:r>
        <w:rPr>
          <w:rFonts w:ascii="Arial" w:hAnsi="Arial" w:cs="Arial"/>
          <w:sz w:val="20"/>
          <w:szCs w:val="20"/>
        </w:rPr>
        <w:t>was the base population. It was placed in 8 race-ethnicity groups (All Hispanics and 7 Non-Hispanic groups: White, African American, American Indian, Asian, Pacific Islanders, Others and Multiracial) by single year age categories and sex.</w:t>
      </w:r>
    </w:p>
    <w:p w:rsidR="00D42C65" w:rsidRPr="00C833AC" w:rsidRDefault="00D42C65" w:rsidP="00D42C65">
      <w:pPr>
        <w:pStyle w:val="ListParagraph"/>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sidRPr="00D34EBF">
        <w:rPr>
          <w:rFonts w:ascii="Arial" w:hAnsi="Arial" w:cs="Arial"/>
          <w:sz w:val="20"/>
          <w:szCs w:val="20"/>
        </w:rPr>
        <w:t xml:space="preserve">Since </w:t>
      </w:r>
      <w:r>
        <w:rPr>
          <w:rFonts w:ascii="Arial" w:hAnsi="Arial" w:cs="Arial"/>
          <w:sz w:val="20"/>
          <w:szCs w:val="20"/>
        </w:rPr>
        <w:t xml:space="preserve">the </w:t>
      </w:r>
      <w:r w:rsidRPr="00D34EBF">
        <w:rPr>
          <w:rFonts w:ascii="Arial" w:hAnsi="Arial" w:cs="Arial"/>
          <w:sz w:val="20"/>
          <w:szCs w:val="20"/>
        </w:rPr>
        <w:t xml:space="preserve">Group Quarters population does not </w:t>
      </w:r>
      <w:r>
        <w:rPr>
          <w:rFonts w:ascii="Arial" w:hAnsi="Arial" w:cs="Arial"/>
          <w:sz w:val="20"/>
          <w:szCs w:val="20"/>
        </w:rPr>
        <w:t xml:space="preserve">change over time in the </w:t>
      </w:r>
      <w:r w:rsidRPr="00D34EBF">
        <w:rPr>
          <w:rFonts w:ascii="Arial" w:hAnsi="Arial" w:cs="Arial"/>
          <w:sz w:val="20"/>
          <w:szCs w:val="20"/>
        </w:rPr>
        <w:t xml:space="preserve">same way as Household population, it </w:t>
      </w:r>
      <w:r>
        <w:rPr>
          <w:rFonts w:ascii="Arial" w:hAnsi="Arial" w:cs="Arial"/>
          <w:sz w:val="20"/>
          <w:szCs w:val="20"/>
        </w:rPr>
        <w:t xml:space="preserve">was </w:t>
      </w:r>
      <w:r w:rsidRPr="00D34EBF">
        <w:rPr>
          <w:rFonts w:ascii="Arial" w:hAnsi="Arial" w:cs="Arial"/>
          <w:sz w:val="20"/>
          <w:szCs w:val="20"/>
        </w:rPr>
        <w:t xml:space="preserve">subtracted from the total population before aging, births, and deaths formulas </w:t>
      </w:r>
      <w:r>
        <w:rPr>
          <w:rFonts w:ascii="Arial" w:hAnsi="Arial" w:cs="Arial"/>
          <w:sz w:val="20"/>
          <w:szCs w:val="20"/>
        </w:rPr>
        <w:t>were</w:t>
      </w:r>
      <w:r w:rsidRPr="00D34EBF">
        <w:rPr>
          <w:rFonts w:ascii="Arial" w:hAnsi="Arial" w:cs="Arial"/>
          <w:sz w:val="20"/>
          <w:szCs w:val="20"/>
        </w:rPr>
        <w:t xml:space="preserve"> used.</w:t>
      </w:r>
      <w:r>
        <w:rPr>
          <w:rStyle w:val="EndnoteReference"/>
          <w:rFonts w:ascii="Arial" w:hAnsi="Arial" w:cs="Arial"/>
          <w:sz w:val="20"/>
          <w:szCs w:val="20"/>
        </w:rPr>
        <w:endnoteReference w:id="1"/>
      </w:r>
      <w:r w:rsidRPr="00D34EBF">
        <w:rPr>
          <w:rFonts w:ascii="Arial" w:hAnsi="Arial" w:cs="Arial"/>
          <w:sz w:val="20"/>
          <w:szCs w:val="20"/>
        </w:rPr>
        <w:t xml:space="preserve"> </w:t>
      </w:r>
    </w:p>
    <w:p w:rsidR="00D42C65" w:rsidRPr="00D34EBF" w:rsidRDefault="00D42C65" w:rsidP="00D42C65">
      <w:pPr>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sidRPr="00D34EBF">
        <w:rPr>
          <w:rFonts w:ascii="Arial" w:hAnsi="Arial" w:cs="Arial"/>
          <w:sz w:val="20"/>
          <w:szCs w:val="20"/>
        </w:rPr>
        <w:t xml:space="preserve">The </w:t>
      </w:r>
      <w:r>
        <w:rPr>
          <w:rFonts w:ascii="Arial" w:hAnsi="Arial" w:cs="Arial"/>
          <w:sz w:val="20"/>
          <w:szCs w:val="20"/>
        </w:rPr>
        <w:t xml:space="preserve">preliminary </w:t>
      </w:r>
      <w:r w:rsidRPr="00D34EBF">
        <w:rPr>
          <w:rFonts w:ascii="Arial" w:hAnsi="Arial" w:cs="Arial"/>
          <w:sz w:val="20"/>
          <w:szCs w:val="20"/>
        </w:rPr>
        <w:t xml:space="preserve">estimates </w:t>
      </w:r>
      <w:r>
        <w:rPr>
          <w:rFonts w:ascii="Arial" w:hAnsi="Arial" w:cs="Arial"/>
          <w:sz w:val="20"/>
          <w:szCs w:val="20"/>
        </w:rPr>
        <w:t>were</w:t>
      </w:r>
      <w:r w:rsidRPr="00D34EBF">
        <w:rPr>
          <w:rFonts w:ascii="Arial" w:hAnsi="Arial" w:cs="Arial"/>
          <w:sz w:val="20"/>
          <w:szCs w:val="20"/>
        </w:rPr>
        <w:t xml:space="preserve"> </w:t>
      </w:r>
      <w:r>
        <w:rPr>
          <w:rFonts w:ascii="Arial" w:hAnsi="Arial" w:cs="Arial"/>
          <w:sz w:val="20"/>
          <w:szCs w:val="20"/>
        </w:rPr>
        <w:t>c</w:t>
      </w:r>
      <w:r w:rsidRPr="00D34EBF">
        <w:rPr>
          <w:rFonts w:ascii="Arial" w:hAnsi="Arial" w:cs="Arial"/>
          <w:sz w:val="20"/>
          <w:szCs w:val="20"/>
        </w:rPr>
        <w:t>ontrolled at the city level to the California Department of Finance</w:t>
      </w:r>
      <w:r>
        <w:rPr>
          <w:rFonts w:ascii="Arial" w:hAnsi="Arial" w:cs="Arial"/>
          <w:sz w:val="20"/>
          <w:szCs w:val="20"/>
        </w:rPr>
        <w:t xml:space="preserve"> (DOF) </w:t>
      </w:r>
      <w:r w:rsidRPr="00D34EBF">
        <w:rPr>
          <w:rFonts w:ascii="Arial" w:hAnsi="Arial" w:cs="Arial"/>
          <w:sz w:val="20"/>
          <w:szCs w:val="20"/>
        </w:rPr>
        <w:t>City Estimates</w:t>
      </w:r>
      <w:r>
        <w:rPr>
          <w:rFonts w:ascii="Arial" w:hAnsi="Arial" w:cs="Arial"/>
          <w:sz w:val="20"/>
          <w:szCs w:val="20"/>
        </w:rPr>
        <w:t>. The DOF estimates</w:t>
      </w:r>
      <w:r w:rsidRPr="00D34EBF">
        <w:rPr>
          <w:rFonts w:ascii="Arial" w:hAnsi="Arial" w:cs="Arial"/>
          <w:sz w:val="20"/>
          <w:szCs w:val="20"/>
        </w:rPr>
        <w:t xml:space="preserve"> </w:t>
      </w:r>
      <w:r>
        <w:rPr>
          <w:rFonts w:ascii="Arial" w:hAnsi="Arial" w:cs="Arial"/>
          <w:sz w:val="20"/>
          <w:szCs w:val="20"/>
        </w:rPr>
        <w:t xml:space="preserve">are </w:t>
      </w:r>
      <w:r w:rsidRPr="00D34EBF">
        <w:rPr>
          <w:rFonts w:ascii="Arial" w:hAnsi="Arial" w:cs="Arial"/>
          <w:sz w:val="20"/>
          <w:szCs w:val="20"/>
        </w:rPr>
        <w:t xml:space="preserve">for January </w:t>
      </w:r>
      <w:r>
        <w:rPr>
          <w:rFonts w:ascii="Arial" w:hAnsi="Arial" w:cs="Arial"/>
          <w:sz w:val="20"/>
          <w:szCs w:val="20"/>
        </w:rPr>
        <w:t>of each year, and we used the mean of the January estimates from 2010 and 2011 to obtain city control numbers for July 1 of 2010.</w:t>
      </w:r>
    </w:p>
    <w:p w:rsidR="00D42C65" w:rsidRDefault="00D42C65" w:rsidP="00D42C65">
      <w:pPr>
        <w:pStyle w:val="ListParagraph"/>
        <w:rPr>
          <w:rFonts w:ascii="Arial" w:hAnsi="Arial" w:cs="Arial"/>
          <w:sz w:val="20"/>
          <w:szCs w:val="20"/>
        </w:rPr>
      </w:pPr>
    </w:p>
    <w:p w:rsidR="00D42C65" w:rsidRDefault="00D42C65" w:rsidP="00D42C65">
      <w:pPr>
        <w:pStyle w:val="ListParagraph"/>
        <w:rPr>
          <w:rFonts w:ascii="Arial" w:hAnsi="Arial" w:cs="Arial"/>
          <w:sz w:val="20"/>
          <w:szCs w:val="20"/>
        </w:rPr>
      </w:pPr>
    </w:p>
    <w:p w:rsidR="00D42C65" w:rsidRPr="00724834" w:rsidRDefault="00D42C65" w:rsidP="00D42C65">
      <w:pPr>
        <w:jc w:val="center"/>
        <w:rPr>
          <w:rFonts w:ascii="Arial" w:hAnsi="Arial" w:cs="Arial"/>
          <w:i/>
          <w:sz w:val="20"/>
          <w:szCs w:val="20"/>
        </w:rPr>
      </w:pPr>
      <w:r w:rsidRPr="00724834">
        <w:rPr>
          <w:rFonts w:ascii="Arial" w:hAnsi="Arial" w:cs="Arial"/>
          <w:i/>
          <w:sz w:val="20"/>
          <w:szCs w:val="20"/>
        </w:rPr>
        <w:t>July 1, 2011 Population Estimates</w:t>
      </w:r>
      <w:r>
        <w:rPr>
          <w:rFonts w:ascii="Arial" w:hAnsi="Arial" w:cs="Arial"/>
          <w:i/>
          <w:sz w:val="20"/>
          <w:szCs w:val="20"/>
        </w:rPr>
        <w:t>:</w:t>
      </w:r>
    </w:p>
    <w:p w:rsidR="00D42C65" w:rsidRPr="00D34EBF" w:rsidRDefault="00D42C65" w:rsidP="00D42C65">
      <w:pPr>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Pr>
          <w:rFonts w:ascii="Arial" w:hAnsi="Arial" w:cs="Arial"/>
          <w:sz w:val="20"/>
          <w:szCs w:val="20"/>
        </w:rPr>
        <w:t xml:space="preserve">Our July 1, </w:t>
      </w:r>
      <w:r w:rsidRPr="00D34EBF">
        <w:rPr>
          <w:rFonts w:ascii="Arial" w:hAnsi="Arial" w:cs="Arial"/>
          <w:sz w:val="20"/>
          <w:szCs w:val="20"/>
        </w:rPr>
        <w:t xml:space="preserve">2010 household population </w:t>
      </w:r>
      <w:r>
        <w:rPr>
          <w:rFonts w:ascii="Arial" w:hAnsi="Arial" w:cs="Arial"/>
          <w:sz w:val="20"/>
          <w:szCs w:val="20"/>
        </w:rPr>
        <w:t>was adjusted for mortality to July 1, 2011 by applying California State mortality rates by race-ethnicity, age and sex.</w:t>
      </w:r>
    </w:p>
    <w:p w:rsidR="00D42C65" w:rsidRDefault="00D42C65" w:rsidP="00D42C65">
      <w:pPr>
        <w:pStyle w:val="ListParagraph"/>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Pr>
          <w:rFonts w:ascii="Arial" w:hAnsi="Arial" w:cs="Arial"/>
          <w:sz w:val="20"/>
          <w:szCs w:val="20"/>
        </w:rPr>
        <w:t>The Step 4 population was adjusted for migration to July 1, 2011 by applying PUMA level annual migration rates by race-ethnicity, age, and sex. These migration rates were estimated from PUMA level cohort changes adjusted for mortality effects between the 2000 and 2010 Censuses.</w:t>
      </w:r>
    </w:p>
    <w:p w:rsidR="00D42C65" w:rsidRPr="00D34EBF" w:rsidRDefault="00D42C65" w:rsidP="00D42C65">
      <w:pPr>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Pr>
          <w:rFonts w:ascii="Arial" w:hAnsi="Arial" w:cs="Arial"/>
          <w:sz w:val="20"/>
          <w:szCs w:val="20"/>
        </w:rPr>
        <w:t>An estimate of the less than age 1 population by race-ethnicity and sex was added based on the less than age 1 and age 1 populations in the 2010 Census.</w:t>
      </w:r>
      <w:r w:rsidRPr="00D34EBF">
        <w:rPr>
          <w:rFonts w:ascii="Arial" w:hAnsi="Arial" w:cs="Arial"/>
          <w:sz w:val="20"/>
          <w:szCs w:val="20"/>
        </w:rPr>
        <w:t xml:space="preserve"> </w:t>
      </w:r>
    </w:p>
    <w:p w:rsidR="00D42C65" w:rsidRPr="00D34EBF" w:rsidRDefault="00D42C65" w:rsidP="00D42C65">
      <w:pPr>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sidRPr="00D34EBF">
        <w:rPr>
          <w:rFonts w:ascii="Arial" w:hAnsi="Arial" w:cs="Arial"/>
          <w:sz w:val="20"/>
          <w:szCs w:val="20"/>
        </w:rPr>
        <w:t xml:space="preserve">The estimates </w:t>
      </w:r>
      <w:r>
        <w:rPr>
          <w:rFonts w:ascii="Arial" w:hAnsi="Arial" w:cs="Arial"/>
          <w:sz w:val="20"/>
          <w:szCs w:val="20"/>
        </w:rPr>
        <w:t>were a</w:t>
      </w:r>
      <w:r w:rsidRPr="00D34EBF">
        <w:rPr>
          <w:rFonts w:ascii="Arial" w:hAnsi="Arial" w:cs="Arial"/>
          <w:sz w:val="20"/>
          <w:szCs w:val="20"/>
        </w:rPr>
        <w:t>djusted based on the PUMA level race</w:t>
      </w:r>
      <w:r>
        <w:rPr>
          <w:rFonts w:ascii="Arial" w:hAnsi="Arial" w:cs="Arial"/>
          <w:sz w:val="20"/>
          <w:szCs w:val="20"/>
        </w:rPr>
        <w:t>-</w:t>
      </w:r>
      <w:r w:rsidRPr="00D34EBF">
        <w:rPr>
          <w:rFonts w:ascii="Arial" w:hAnsi="Arial" w:cs="Arial"/>
          <w:sz w:val="20"/>
          <w:szCs w:val="20"/>
        </w:rPr>
        <w:t>ethnicity distribution from the 2010 ACS.</w:t>
      </w:r>
    </w:p>
    <w:p w:rsidR="00D42C65" w:rsidRPr="00D34EBF" w:rsidRDefault="00D42C65" w:rsidP="00D42C65">
      <w:pPr>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sidRPr="00D34EBF">
        <w:rPr>
          <w:rFonts w:ascii="Arial" w:hAnsi="Arial" w:cs="Arial"/>
          <w:sz w:val="20"/>
          <w:szCs w:val="20"/>
        </w:rPr>
        <w:t xml:space="preserve">The estimates </w:t>
      </w:r>
      <w:r>
        <w:rPr>
          <w:rFonts w:ascii="Arial" w:hAnsi="Arial" w:cs="Arial"/>
          <w:sz w:val="20"/>
          <w:szCs w:val="20"/>
        </w:rPr>
        <w:t xml:space="preserve">were </w:t>
      </w:r>
      <w:r w:rsidRPr="00D34EBF">
        <w:rPr>
          <w:rFonts w:ascii="Arial" w:hAnsi="Arial" w:cs="Arial"/>
          <w:sz w:val="20"/>
          <w:szCs w:val="20"/>
        </w:rPr>
        <w:t xml:space="preserve">controlled to the </w:t>
      </w:r>
      <w:r>
        <w:rPr>
          <w:rFonts w:ascii="Arial" w:hAnsi="Arial" w:cs="Arial"/>
          <w:sz w:val="20"/>
          <w:szCs w:val="20"/>
        </w:rPr>
        <w:t xml:space="preserve">mean of </w:t>
      </w:r>
      <w:r w:rsidRPr="00D34EBF">
        <w:rPr>
          <w:rFonts w:ascii="Arial" w:hAnsi="Arial" w:cs="Arial"/>
          <w:sz w:val="20"/>
          <w:szCs w:val="20"/>
        </w:rPr>
        <w:t xml:space="preserve">city estimates </w:t>
      </w:r>
      <w:r>
        <w:rPr>
          <w:rFonts w:ascii="Arial" w:hAnsi="Arial" w:cs="Arial"/>
          <w:sz w:val="20"/>
          <w:szCs w:val="20"/>
        </w:rPr>
        <w:t xml:space="preserve">for January 2011 and January 2012 </w:t>
      </w:r>
      <w:r w:rsidRPr="00D34EBF">
        <w:rPr>
          <w:rFonts w:ascii="Arial" w:hAnsi="Arial" w:cs="Arial"/>
          <w:sz w:val="20"/>
          <w:szCs w:val="20"/>
        </w:rPr>
        <w:t>published by the California Department of Finance</w:t>
      </w:r>
      <w:r>
        <w:rPr>
          <w:rFonts w:ascii="Arial" w:hAnsi="Arial" w:cs="Arial"/>
          <w:sz w:val="20"/>
          <w:szCs w:val="20"/>
        </w:rPr>
        <w:t>, Demographic Research Unit</w:t>
      </w:r>
      <w:r w:rsidRPr="00D34EBF">
        <w:rPr>
          <w:rFonts w:ascii="Arial" w:hAnsi="Arial" w:cs="Arial"/>
          <w:sz w:val="20"/>
          <w:szCs w:val="20"/>
        </w:rPr>
        <w:t>.</w:t>
      </w:r>
    </w:p>
    <w:p w:rsidR="00D42C65" w:rsidRPr="00D34EBF" w:rsidRDefault="00D42C65" w:rsidP="00D42C65">
      <w:pPr>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Pr>
          <w:rFonts w:ascii="Arial" w:hAnsi="Arial" w:cs="Arial"/>
          <w:sz w:val="20"/>
          <w:szCs w:val="20"/>
        </w:rPr>
        <w:t xml:space="preserve">The estimates were rounded to </w:t>
      </w:r>
      <w:r w:rsidRPr="00D34EBF">
        <w:rPr>
          <w:rFonts w:ascii="Arial" w:hAnsi="Arial" w:cs="Arial"/>
          <w:sz w:val="20"/>
          <w:szCs w:val="20"/>
        </w:rPr>
        <w:t>whole numbers</w:t>
      </w:r>
      <w:r>
        <w:rPr>
          <w:rFonts w:ascii="Arial" w:hAnsi="Arial" w:cs="Arial"/>
          <w:sz w:val="20"/>
          <w:szCs w:val="20"/>
        </w:rPr>
        <w:t>.</w:t>
      </w:r>
    </w:p>
    <w:p w:rsidR="00D42C65" w:rsidRPr="00D34EBF" w:rsidRDefault="00D42C65" w:rsidP="00D42C65">
      <w:pPr>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Pr>
          <w:rFonts w:ascii="Arial" w:hAnsi="Arial" w:cs="Arial"/>
          <w:sz w:val="20"/>
          <w:szCs w:val="20"/>
        </w:rPr>
        <w:t xml:space="preserve">The estimates were reviewed for validity </w:t>
      </w:r>
      <w:r w:rsidRPr="00D34EBF">
        <w:rPr>
          <w:rFonts w:ascii="Arial" w:hAnsi="Arial" w:cs="Arial"/>
          <w:sz w:val="20"/>
          <w:szCs w:val="20"/>
        </w:rPr>
        <w:t xml:space="preserve">using </w:t>
      </w:r>
      <w:r>
        <w:rPr>
          <w:rFonts w:ascii="Arial" w:hAnsi="Arial" w:cs="Arial"/>
          <w:sz w:val="20"/>
          <w:szCs w:val="20"/>
        </w:rPr>
        <w:t xml:space="preserve">Los Angeles County </w:t>
      </w:r>
      <w:r w:rsidRPr="00D34EBF">
        <w:rPr>
          <w:rFonts w:ascii="Arial" w:hAnsi="Arial" w:cs="Arial"/>
          <w:sz w:val="20"/>
          <w:szCs w:val="20"/>
        </w:rPr>
        <w:t xml:space="preserve">administrative records </w:t>
      </w:r>
      <w:r>
        <w:rPr>
          <w:rFonts w:ascii="Arial" w:hAnsi="Arial" w:cs="Arial"/>
          <w:sz w:val="20"/>
          <w:szCs w:val="20"/>
        </w:rPr>
        <w:t>on births, deaths, registered voters and housing units</w:t>
      </w:r>
      <w:r w:rsidRPr="00D34EBF">
        <w:rPr>
          <w:rFonts w:ascii="Arial" w:hAnsi="Arial" w:cs="Arial"/>
          <w:sz w:val="20"/>
          <w:szCs w:val="20"/>
        </w:rPr>
        <w:t>.</w:t>
      </w:r>
    </w:p>
    <w:p w:rsidR="00D42C65" w:rsidRPr="00C833AC" w:rsidRDefault="00D42C65" w:rsidP="00D42C65">
      <w:pPr>
        <w:pStyle w:val="ListParagraph"/>
        <w:rPr>
          <w:rFonts w:ascii="Arial" w:hAnsi="Arial" w:cs="Arial"/>
          <w:sz w:val="20"/>
          <w:szCs w:val="20"/>
        </w:rPr>
      </w:pPr>
    </w:p>
    <w:p w:rsidR="00D42C65" w:rsidRPr="00D34EBF" w:rsidRDefault="00D42C65" w:rsidP="00D42C65">
      <w:pPr>
        <w:pStyle w:val="ListParagraph"/>
        <w:numPr>
          <w:ilvl w:val="0"/>
          <w:numId w:val="7"/>
        </w:numPr>
        <w:rPr>
          <w:rFonts w:ascii="Arial" w:hAnsi="Arial" w:cs="Arial"/>
          <w:sz w:val="20"/>
          <w:szCs w:val="20"/>
        </w:rPr>
      </w:pPr>
      <w:r w:rsidRPr="00D34EBF">
        <w:rPr>
          <w:rFonts w:ascii="Arial" w:hAnsi="Arial" w:cs="Arial"/>
          <w:sz w:val="20"/>
          <w:szCs w:val="20"/>
        </w:rPr>
        <w:t xml:space="preserve">The Other Race and Two or More Races categories (both Non-Hispanic) </w:t>
      </w:r>
      <w:r>
        <w:rPr>
          <w:rFonts w:ascii="Arial" w:hAnsi="Arial" w:cs="Arial"/>
          <w:sz w:val="20"/>
          <w:szCs w:val="20"/>
        </w:rPr>
        <w:t xml:space="preserve">were allocated by us </w:t>
      </w:r>
      <w:r w:rsidRPr="00D34EBF">
        <w:rPr>
          <w:rFonts w:ascii="Arial" w:hAnsi="Arial" w:cs="Arial"/>
          <w:sz w:val="20"/>
          <w:szCs w:val="20"/>
        </w:rPr>
        <w:t>to the above Non-Hispanic groups based on the race distribution in each Census tract split.</w:t>
      </w:r>
    </w:p>
    <w:p w:rsidR="00D42C65" w:rsidRDefault="00D42C65" w:rsidP="00D42C65">
      <w:pPr>
        <w:pStyle w:val="ListParagraph"/>
        <w:rPr>
          <w:rFonts w:ascii="Arial" w:hAnsi="Arial" w:cs="Arial"/>
          <w:sz w:val="20"/>
          <w:szCs w:val="20"/>
        </w:rPr>
      </w:pPr>
    </w:p>
    <w:p w:rsidR="00D42C65" w:rsidRDefault="00D42C65" w:rsidP="00D42C65">
      <w:pPr>
        <w:pStyle w:val="ListParagraph"/>
        <w:rPr>
          <w:rFonts w:ascii="Arial" w:hAnsi="Arial" w:cs="Arial"/>
          <w:sz w:val="20"/>
          <w:szCs w:val="20"/>
        </w:rPr>
      </w:pPr>
    </w:p>
    <w:p w:rsidR="00D42C65" w:rsidRDefault="00D42C65" w:rsidP="00D42C65">
      <w:pPr>
        <w:pStyle w:val="PlainText"/>
        <w:ind w:left="360"/>
        <w:jc w:val="center"/>
        <w:rPr>
          <w:rFonts w:ascii="Arial" w:hAnsi="Arial" w:cs="Arial"/>
          <w:i/>
          <w:sz w:val="20"/>
          <w:szCs w:val="20"/>
        </w:rPr>
      </w:pPr>
      <w:r w:rsidRPr="00724834">
        <w:rPr>
          <w:rFonts w:ascii="Arial" w:hAnsi="Arial" w:cs="Arial"/>
          <w:i/>
          <w:sz w:val="20"/>
          <w:szCs w:val="20"/>
        </w:rPr>
        <w:t>July 1, 2010 Po</w:t>
      </w:r>
      <w:r>
        <w:rPr>
          <w:rFonts w:ascii="Arial" w:hAnsi="Arial" w:cs="Arial"/>
          <w:i/>
          <w:sz w:val="20"/>
          <w:szCs w:val="20"/>
        </w:rPr>
        <w:t>verty</w:t>
      </w:r>
      <w:r w:rsidRPr="00724834">
        <w:rPr>
          <w:rFonts w:ascii="Arial" w:hAnsi="Arial" w:cs="Arial"/>
          <w:i/>
          <w:sz w:val="20"/>
          <w:szCs w:val="20"/>
        </w:rPr>
        <w:t xml:space="preserve"> Estimates:</w:t>
      </w:r>
    </w:p>
    <w:p w:rsidR="00B552E6" w:rsidRPr="00724834" w:rsidRDefault="00B552E6" w:rsidP="00D42C65">
      <w:pPr>
        <w:pStyle w:val="PlainText"/>
        <w:ind w:left="360"/>
        <w:jc w:val="center"/>
        <w:rPr>
          <w:rFonts w:ascii="Arial" w:hAnsi="Arial" w:cs="Arial"/>
          <w:i/>
          <w:sz w:val="20"/>
          <w:szCs w:val="20"/>
        </w:rPr>
      </w:pPr>
    </w:p>
    <w:p w:rsidR="00D42C65" w:rsidRPr="0076445B" w:rsidRDefault="00334799" w:rsidP="00334799">
      <w:pPr>
        <w:pStyle w:val="PlainText"/>
        <w:rPr>
          <w:rFonts w:ascii="Arial" w:hAnsi="Arial" w:cs="Arial"/>
          <w:sz w:val="20"/>
          <w:szCs w:val="20"/>
        </w:rPr>
      </w:pPr>
      <w:r>
        <w:rPr>
          <w:rFonts w:ascii="Arial" w:hAnsi="Arial" w:cs="Arial"/>
          <w:sz w:val="20"/>
          <w:szCs w:val="20"/>
        </w:rPr>
        <w:t xml:space="preserve">The procedure for producing the July 1, 2010 Poverty estimates are in </w:t>
      </w:r>
      <w:r w:rsidRPr="00B552E6">
        <w:rPr>
          <w:rFonts w:ascii="Arial" w:hAnsi="Arial" w:cs="Arial"/>
          <w:b/>
          <w:sz w:val="20"/>
          <w:szCs w:val="20"/>
        </w:rPr>
        <w:t>Chart 2.4</w:t>
      </w:r>
      <w:r>
        <w:rPr>
          <w:rFonts w:ascii="Arial" w:hAnsi="Arial" w:cs="Arial"/>
          <w:sz w:val="20"/>
          <w:szCs w:val="20"/>
        </w:rPr>
        <w:t>.</w:t>
      </w: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 xml:space="preserve">From 2010 ACS </w:t>
      </w:r>
      <w:r>
        <w:rPr>
          <w:rFonts w:ascii="Arial" w:hAnsi="Arial" w:cs="Arial"/>
          <w:sz w:val="20"/>
          <w:szCs w:val="20"/>
        </w:rPr>
        <w:t>1</w:t>
      </w:r>
      <w:r w:rsidRPr="00724834">
        <w:rPr>
          <w:rFonts w:ascii="Arial" w:hAnsi="Arial" w:cs="Arial"/>
          <w:sz w:val="20"/>
          <w:szCs w:val="20"/>
        </w:rPr>
        <w:t>-Year PUMA poverty rates were calculated by race</w:t>
      </w:r>
      <w:r>
        <w:rPr>
          <w:rFonts w:ascii="Arial" w:hAnsi="Arial" w:cs="Arial"/>
          <w:sz w:val="20"/>
          <w:szCs w:val="20"/>
        </w:rPr>
        <w:t>-ethnicity</w:t>
      </w:r>
      <w:r w:rsidRPr="00724834">
        <w:rPr>
          <w:rFonts w:ascii="Arial" w:hAnsi="Arial" w:cs="Arial"/>
          <w:sz w:val="20"/>
          <w:szCs w:val="20"/>
        </w:rPr>
        <w:t xml:space="preserve"> (8 groups) for age groups “less than 18”, “18 to 34”, “35 to 64”, “65 plus”. If the total for any race</w:t>
      </w:r>
      <w:r>
        <w:rPr>
          <w:rFonts w:ascii="Arial" w:hAnsi="Arial" w:cs="Arial"/>
          <w:sz w:val="20"/>
          <w:szCs w:val="20"/>
        </w:rPr>
        <w:t xml:space="preserve">-ethnicity by </w:t>
      </w:r>
      <w:r w:rsidRPr="00724834">
        <w:rPr>
          <w:rFonts w:ascii="Arial" w:hAnsi="Arial" w:cs="Arial"/>
          <w:sz w:val="20"/>
          <w:szCs w:val="20"/>
        </w:rPr>
        <w:t xml:space="preserve">age group is less than 200, County rates </w:t>
      </w:r>
      <w:r>
        <w:rPr>
          <w:rFonts w:ascii="Arial" w:hAnsi="Arial" w:cs="Arial"/>
          <w:sz w:val="20"/>
          <w:szCs w:val="20"/>
        </w:rPr>
        <w:t xml:space="preserve">for that race-ethnicity group </w:t>
      </w:r>
      <w:r w:rsidRPr="00724834">
        <w:rPr>
          <w:rFonts w:ascii="Arial" w:hAnsi="Arial" w:cs="Arial"/>
          <w:sz w:val="20"/>
          <w:szCs w:val="20"/>
        </w:rPr>
        <w:t xml:space="preserve">were used for </w:t>
      </w:r>
      <w:r>
        <w:rPr>
          <w:rFonts w:ascii="Arial" w:hAnsi="Arial" w:cs="Arial"/>
          <w:sz w:val="20"/>
          <w:szCs w:val="20"/>
        </w:rPr>
        <w:t>its</w:t>
      </w:r>
      <w:r w:rsidRPr="00724834">
        <w:rPr>
          <w:rFonts w:ascii="Arial" w:hAnsi="Arial" w:cs="Arial"/>
          <w:sz w:val="20"/>
          <w:szCs w:val="20"/>
        </w:rPr>
        <w:t xml:space="preserve"> age </w:t>
      </w:r>
      <w:r>
        <w:rPr>
          <w:rFonts w:ascii="Arial" w:hAnsi="Arial" w:cs="Arial"/>
          <w:sz w:val="20"/>
          <w:szCs w:val="20"/>
        </w:rPr>
        <w:t>categories</w:t>
      </w:r>
      <w:r w:rsidRPr="00724834">
        <w:rPr>
          <w:rFonts w:ascii="Arial" w:hAnsi="Arial" w:cs="Arial"/>
          <w:sz w:val="20"/>
          <w:szCs w:val="20"/>
        </w:rPr>
        <w:t>.</w:t>
      </w:r>
      <w:r>
        <w:rPr>
          <w:rFonts w:ascii="Arial" w:hAnsi="Arial" w:cs="Arial"/>
          <w:sz w:val="20"/>
          <w:szCs w:val="20"/>
        </w:rPr>
        <w:t xml:space="preserve"> </w:t>
      </w:r>
      <w:r w:rsidRPr="0074379D">
        <w:rPr>
          <w:rFonts w:ascii="Arial" w:hAnsi="Arial" w:cs="Arial"/>
          <w:sz w:val="20"/>
          <w:szCs w:val="20"/>
        </w:rPr>
        <w:t>Because of their small sample size, for the Non-Hispanic groups Americ</w:t>
      </w:r>
      <w:r>
        <w:rPr>
          <w:rFonts w:ascii="Arial" w:hAnsi="Arial" w:cs="Arial"/>
          <w:sz w:val="20"/>
          <w:szCs w:val="20"/>
        </w:rPr>
        <w:t xml:space="preserve">an Indians, Pacific Islanders, </w:t>
      </w:r>
      <w:r w:rsidRPr="0074379D">
        <w:rPr>
          <w:rFonts w:ascii="Arial" w:hAnsi="Arial" w:cs="Arial"/>
          <w:sz w:val="20"/>
          <w:szCs w:val="20"/>
        </w:rPr>
        <w:t>and Other we used the County 2010 total poverty rates by age adjusted for each groups total poverty rates differences from county total poverty rate.</w:t>
      </w:r>
    </w:p>
    <w:p w:rsidR="00D42C65" w:rsidRPr="0076445B" w:rsidRDefault="00D42C65" w:rsidP="00D42C65">
      <w:pPr>
        <w:ind w:left="720"/>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 xml:space="preserve">A tract adjustment was made by multiplying the 2010 ACS 5-Year County rates by the ratio of tract total poverty rate divided by the County total poverty rate. Therefore, if a tract has a total poverty rate higher than the County rate the PUMA race-ethnic by age rates will be adjusted upward for that tract. Similarly, if the tract has a lower than County total poverty, the PUMA rates will be adjusted downward for that tract. </w:t>
      </w:r>
    </w:p>
    <w:p w:rsidR="00D42C65" w:rsidRPr="0076445B" w:rsidRDefault="00D42C65" w:rsidP="00D42C65">
      <w:pPr>
        <w:ind w:left="720"/>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 xml:space="preserve">The rates were multiplied by </w:t>
      </w:r>
      <w:r>
        <w:rPr>
          <w:rFonts w:ascii="Arial" w:hAnsi="Arial" w:cs="Arial"/>
          <w:sz w:val="20"/>
          <w:szCs w:val="20"/>
        </w:rPr>
        <w:t>our</w:t>
      </w:r>
      <w:r w:rsidRPr="00724834">
        <w:rPr>
          <w:rFonts w:ascii="Arial" w:hAnsi="Arial" w:cs="Arial"/>
          <w:sz w:val="20"/>
          <w:szCs w:val="20"/>
        </w:rPr>
        <w:t xml:space="preserve"> single year age household population estimates for July 1, 2010 for each tract.</w:t>
      </w:r>
    </w:p>
    <w:p w:rsidR="00D42C65" w:rsidRPr="0076445B" w:rsidRDefault="00D42C65" w:rsidP="00D42C65">
      <w:pPr>
        <w:ind w:left="720"/>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The poverty numbers were controlled to the 2010 ACS 1-Year County rates for the four age groups by sex.</w:t>
      </w:r>
    </w:p>
    <w:p w:rsidR="00D42C65" w:rsidRPr="0076445B" w:rsidRDefault="00D42C65" w:rsidP="00D42C65">
      <w:pPr>
        <w:ind w:left="720"/>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The poverty numbers were next controlled to the 2010 ACS 1 Year County rates for each race group and then controlled to the County total 2010 poverty rate of 17.5 percent.</w:t>
      </w:r>
    </w:p>
    <w:p w:rsidR="00D42C65" w:rsidRPr="0076445B" w:rsidRDefault="00D42C65" w:rsidP="00D42C65">
      <w:pPr>
        <w:pStyle w:val="ListParagraph"/>
        <w:ind w:left="1440"/>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 xml:space="preserve">The poverty numbers were aggregated to the deliverable age groups and then rounded. </w:t>
      </w:r>
    </w:p>
    <w:p w:rsidR="00D42C65" w:rsidRPr="0076445B" w:rsidRDefault="00D42C65" w:rsidP="00D42C65">
      <w:pPr>
        <w:ind w:left="720"/>
        <w:rPr>
          <w:rFonts w:ascii="Arial" w:hAnsi="Arial" w:cs="Arial"/>
          <w:sz w:val="20"/>
          <w:szCs w:val="20"/>
        </w:rPr>
      </w:pPr>
    </w:p>
    <w:p w:rsidR="00D42C65" w:rsidRDefault="00D42C65" w:rsidP="00D42C65">
      <w:pPr>
        <w:pStyle w:val="PlainText"/>
        <w:numPr>
          <w:ilvl w:val="0"/>
          <w:numId w:val="7"/>
        </w:numPr>
        <w:rPr>
          <w:rFonts w:ascii="Arial" w:hAnsi="Arial" w:cs="Arial"/>
          <w:sz w:val="20"/>
          <w:szCs w:val="20"/>
        </w:rPr>
      </w:pPr>
      <w:r w:rsidRPr="0076445B">
        <w:rPr>
          <w:rFonts w:ascii="Arial" w:hAnsi="Arial" w:cs="Arial"/>
          <w:sz w:val="20"/>
          <w:szCs w:val="20"/>
        </w:rPr>
        <w:t xml:space="preserve">For the Non-Hispanic race-ethnic groups, the rounded numbers for </w:t>
      </w:r>
      <w:proofErr w:type="gramStart"/>
      <w:r w:rsidRPr="0076445B">
        <w:rPr>
          <w:rFonts w:ascii="Arial" w:hAnsi="Arial" w:cs="Arial"/>
          <w:sz w:val="20"/>
          <w:szCs w:val="20"/>
        </w:rPr>
        <w:t>Other</w:t>
      </w:r>
      <w:proofErr w:type="gramEnd"/>
      <w:r w:rsidRPr="0076445B">
        <w:rPr>
          <w:rFonts w:ascii="Arial" w:hAnsi="Arial" w:cs="Arial"/>
          <w:sz w:val="20"/>
          <w:szCs w:val="20"/>
        </w:rPr>
        <w:t xml:space="preserve"> and Multiracial were distributed into the White, African American, Asian, Pacific Islander and American Indian categories.</w:t>
      </w:r>
    </w:p>
    <w:p w:rsidR="00D42C65" w:rsidRDefault="00D42C65" w:rsidP="00D42C65">
      <w:pPr>
        <w:pStyle w:val="ListParagraph"/>
        <w:rPr>
          <w:rFonts w:ascii="Arial" w:hAnsi="Arial" w:cs="Arial"/>
          <w:sz w:val="20"/>
          <w:szCs w:val="20"/>
        </w:rPr>
      </w:pPr>
    </w:p>
    <w:p w:rsidR="00D42C65" w:rsidRDefault="00D42C65" w:rsidP="00D42C65">
      <w:pPr>
        <w:pStyle w:val="PlainText"/>
        <w:rPr>
          <w:rFonts w:ascii="Arial" w:hAnsi="Arial" w:cs="Arial"/>
          <w:sz w:val="20"/>
          <w:szCs w:val="20"/>
        </w:rPr>
      </w:pPr>
    </w:p>
    <w:p w:rsidR="00D42C65" w:rsidRPr="00724834" w:rsidRDefault="00D42C65" w:rsidP="00D42C65">
      <w:pPr>
        <w:pStyle w:val="PlainText"/>
        <w:ind w:left="360"/>
        <w:jc w:val="center"/>
        <w:rPr>
          <w:rFonts w:ascii="Arial" w:hAnsi="Arial" w:cs="Arial"/>
          <w:i/>
          <w:sz w:val="20"/>
          <w:szCs w:val="20"/>
        </w:rPr>
      </w:pPr>
      <w:r w:rsidRPr="00724834">
        <w:rPr>
          <w:rFonts w:ascii="Arial" w:hAnsi="Arial" w:cs="Arial"/>
          <w:i/>
          <w:sz w:val="20"/>
          <w:szCs w:val="20"/>
        </w:rPr>
        <w:t>July 1, 201</w:t>
      </w:r>
      <w:r>
        <w:rPr>
          <w:rFonts w:ascii="Arial" w:hAnsi="Arial" w:cs="Arial"/>
          <w:i/>
          <w:sz w:val="20"/>
          <w:szCs w:val="20"/>
        </w:rPr>
        <w:t>1</w:t>
      </w:r>
      <w:r w:rsidRPr="00724834">
        <w:rPr>
          <w:rFonts w:ascii="Arial" w:hAnsi="Arial" w:cs="Arial"/>
          <w:i/>
          <w:sz w:val="20"/>
          <w:szCs w:val="20"/>
        </w:rPr>
        <w:t xml:space="preserve"> Po</w:t>
      </w:r>
      <w:r>
        <w:rPr>
          <w:rFonts w:ascii="Arial" w:hAnsi="Arial" w:cs="Arial"/>
          <w:i/>
          <w:sz w:val="20"/>
          <w:szCs w:val="20"/>
        </w:rPr>
        <w:t>verty</w:t>
      </w:r>
      <w:r w:rsidRPr="00724834">
        <w:rPr>
          <w:rFonts w:ascii="Arial" w:hAnsi="Arial" w:cs="Arial"/>
          <w:i/>
          <w:sz w:val="20"/>
          <w:szCs w:val="20"/>
        </w:rPr>
        <w:t xml:space="preserve"> Estimates:</w:t>
      </w:r>
    </w:p>
    <w:p w:rsidR="00D42C65" w:rsidRDefault="00D42C65" w:rsidP="00D42C65">
      <w:pPr>
        <w:pStyle w:val="PlainText"/>
        <w:jc w:val="center"/>
        <w:rPr>
          <w:rFonts w:ascii="Arial" w:hAnsi="Arial" w:cs="Arial"/>
          <w:sz w:val="20"/>
          <w:szCs w:val="20"/>
        </w:rPr>
      </w:pPr>
    </w:p>
    <w:p w:rsidR="00B552E6" w:rsidRPr="0076445B" w:rsidRDefault="00B552E6" w:rsidP="00B552E6">
      <w:pPr>
        <w:pStyle w:val="PlainText"/>
        <w:rPr>
          <w:rFonts w:ascii="Arial" w:hAnsi="Arial" w:cs="Arial"/>
          <w:sz w:val="20"/>
          <w:szCs w:val="20"/>
        </w:rPr>
      </w:pPr>
      <w:r>
        <w:rPr>
          <w:rFonts w:ascii="Arial" w:hAnsi="Arial" w:cs="Arial"/>
          <w:sz w:val="20"/>
          <w:szCs w:val="20"/>
        </w:rPr>
        <w:t xml:space="preserve">The procedure for producing the July 1, 2011 Poverty estimates are in </w:t>
      </w:r>
      <w:r w:rsidRPr="00B552E6">
        <w:rPr>
          <w:rFonts w:ascii="Arial" w:hAnsi="Arial" w:cs="Arial"/>
          <w:b/>
          <w:sz w:val="20"/>
          <w:szCs w:val="20"/>
        </w:rPr>
        <w:t>Chart 2.</w:t>
      </w:r>
      <w:r>
        <w:rPr>
          <w:rFonts w:ascii="Arial" w:hAnsi="Arial" w:cs="Arial"/>
          <w:b/>
          <w:sz w:val="20"/>
          <w:szCs w:val="20"/>
        </w:rPr>
        <w:t>5</w:t>
      </w:r>
      <w:r>
        <w:rPr>
          <w:rFonts w:ascii="Arial" w:hAnsi="Arial" w:cs="Arial"/>
          <w:sz w:val="20"/>
          <w:szCs w:val="20"/>
        </w:rPr>
        <w:t>.</w:t>
      </w:r>
    </w:p>
    <w:p w:rsidR="00B552E6" w:rsidRPr="0076445B" w:rsidRDefault="00B552E6" w:rsidP="00D42C65">
      <w:pPr>
        <w:pStyle w:val="PlainText"/>
        <w:jc w:val="center"/>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sidRPr="00B73784">
        <w:rPr>
          <w:rFonts w:ascii="Arial" w:hAnsi="Arial" w:cs="Arial"/>
          <w:sz w:val="20"/>
          <w:szCs w:val="20"/>
        </w:rPr>
        <w:t xml:space="preserve">The 2010 poverty rates from Step 13 were applied to our </w:t>
      </w:r>
      <w:r>
        <w:rPr>
          <w:rFonts w:ascii="Arial" w:hAnsi="Arial" w:cs="Arial"/>
          <w:sz w:val="20"/>
          <w:szCs w:val="20"/>
        </w:rPr>
        <w:t xml:space="preserve">single year age household population estimates for July 1, </w:t>
      </w:r>
      <w:r w:rsidRPr="00B73784">
        <w:rPr>
          <w:rFonts w:ascii="Arial" w:hAnsi="Arial" w:cs="Arial"/>
          <w:sz w:val="20"/>
          <w:szCs w:val="20"/>
        </w:rPr>
        <w:t xml:space="preserve">2011 </w:t>
      </w:r>
      <w:r>
        <w:rPr>
          <w:rFonts w:ascii="Arial" w:hAnsi="Arial" w:cs="Arial"/>
          <w:sz w:val="20"/>
          <w:szCs w:val="20"/>
        </w:rPr>
        <w:t>for each tract.</w:t>
      </w:r>
    </w:p>
    <w:p w:rsidR="00D42C65" w:rsidRDefault="00D42C65" w:rsidP="00D42C65">
      <w:pPr>
        <w:pStyle w:val="ListParagraph"/>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Pr>
          <w:rFonts w:ascii="Arial" w:hAnsi="Arial" w:cs="Arial"/>
          <w:sz w:val="20"/>
          <w:szCs w:val="20"/>
        </w:rPr>
        <w:t>The estimates from Step 19 were controlled to 2010 ACS 1-Year PUMS file estimates of County poverty rates by race-ethnicity, age, and sex.</w:t>
      </w:r>
    </w:p>
    <w:p w:rsidR="00D42C65" w:rsidRPr="00B73784" w:rsidRDefault="00D42C65" w:rsidP="00D42C65">
      <w:pPr>
        <w:pStyle w:val="ListParagraph"/>
        <w:rPr>
          <w:rFonts w:ascii="Arial" w:hAnsi="Arial" w:cs="Arial"/>
          <w:sz w:val="20"/>
          <w:szCs w:val="20"/>
        </w:rPr>
      </w:pPr>
    </w:p>
    <w:p w:rsidR="00D42C65" w:rsidRDefault="00D42C65" w:rsidP="00D42C65">
      <w:pPr>
        <w:pStyle w:val="ListParagraph"/>
        <w:numPr>
          <w:ilvl w:val="0"/>
          <w:numId w:val="7"/>
        </w:numPr>
        <w:rPr>
          <w:rFonts w:ascii="Arial" w:hAnsi="Arial" w:cs="Arial"/>
          <w:sz w:val="20"/>
          <w:szCs w:val="20"/>
        </w:rPr>
      </w:pPr>
      <w:r>
        <w:rPr>
          <w:rFonts w:ascii="Arial" w:hAnsi="Arial" w:cs="Arial"/>
          <w:sz w:val="20"/>
          <w:szCs w:val="20"/>
        </w:rPr>
        <w:t>The estimates from Step 20 were controlled to the 2011 ACS 1-Year file estimates of County poverty rates by race-ethnicity. (The 2011 ACS 1 Year PUMS file was not yet available, which prevented us from extracting 2011 ACS poverty rates for our target race-ethnicity groups by age, and sex.)</w:t>
      </w:r>
    </w:p>
    <w:p w:rsidR="00D42C65" w:rsidRPr="00D46090" w:rsidRDefault="00D42C65" w:rsidP="00D42C65">
      <w:pPr>
        <w:pStyle w:val="ListParagraph"/>
        <w:rPr>
          <w:rFonts w:ascii="Arial" w:hAnsi="Arial" w:cs="Arial"/>
          <w:sz w:val="20"/>
          <w:szCs w:val="20"/>
        </w:rPr>
      </w:pPr>
    </w:p>
    <w:p w:rsidR="00D42C65" w:rsidRPr="00724834" w:rsidRDefault="00D42C65" w:rsidP="00D42C65">
      <w:pPr>
        <w:pStyle w:val="ListParagraph"/>
        <w:numPr>
          <w:ilvl w:val="0"/>
          <w:numId w:val="7"/>
        </w:numPr>
        <w:rPr>
          <w:rFonts w:ascii="Arial" w:hAnsi="Arial" w:cs="Arial"/>
          <w:sz w:val="20"/>
          <w:szCs w:val="20"/>
        </w:rPr>
      </w:pPr>
      <w:r w:rsidRPr="00724834">
        <w:rPr>
          <w:rFonts w:ascii="Arial" w:hAnsi="Arial" w:cs="Arial"/>
          <w:sz w:val="20"/>
          <w:szCs w:val="20"/>
        </w:rPr>
        <w:t xml:space="preserve">The poverty numbers were aggregated to the deliverable age groups and then rounded. </w:t>
      </w:r>
    </w:p>
    <w:p w:rsidR="00D42C65" w:rsidRPr="0076445B" w:rsidRDefault="00D42C65" w:rsidP="00D42C65">
      <w:pPr>
        <w:ind w:left="720"/>
        <w:rPr>
          <w:rFonts w:ascii="Arial" w:hAnsi="Arial" w:cs="Arial"/>
          <w:sz w:val="20"/>
          <w:szCs w:val="20"/>
        </w:rPr>
      </w:pPr>
    </w:p>
    <w:p w:rsidR="00D42C65" w:rsidRDefault="00D42C65" w:rsidP="00D42C65">
      <w:pPr>
        <w:pStyle w:val="PlainText"/>
        <w:numPr>
          <w:ilvl w:val="0"/>
          <w:numId w:val="7"/>
        </w:numPr>
        <w:rPr>
          <w:rFonts w:ascii="Arial" w:hAnsi="Arial" w:cs="Arial"/>
          <w:sz w:val="20"/>
          <w:szCs w:val="20"/>
        </w:rPr>
      </w:pPr>
      <w:r w:rsidRPr="0076445B">
        <w:rPr>
          <w:rFonts w:ascii="Arial" w:hAnsi="Arial" w:cs="Arial"/>
          <w:sz w:val="20"/>
          <w:szCs w:val="20"/>
        </w:rPr>
        <w:t xml:space="preserve">For the Non-Hispanic race-ethnic groups, the rounded numbers for </w:t>
      </w:r>
      <w:proofErr w:type="gramStart"/>
      <w:r w:rsidRPr="0076445B">
        <w:rPr>
          <w:rFonts w:ascii="Arial" w:hAnsi="Arial" w:cs="Arial"/>
          <w:sz w:val="20"/>
          <w:szCs w:val="20"/>
        </w:rPr>
        <w:t>Other</w:t>
      </w:r>
      <w:proofErr w:type="gramEnd"/>
      <w:r w:rsidRPr="0076445B">
        <w:rPr>
          <w:rFonts w:ascii="Arial" w:hAnsi="Arial" w:cs="Arial"/>
          <w:sz w:val="20"/>
          <w:szCs w:val="20"/>
        </w:rPr>
        <w:t xml:space="preserve"> and Multiracial </w:t>
      </w:r>
      <w:r>
        <w:rPr>
          <w:rFonts w:ascii="Arial" w:hAnsi="Arial" w:cs="Arial"/>
          <w:sz w:val="20"/>
          <w:szCs w:val="20"/>
        </w:rPr>
        <w:t xml:space="preserve">populations </w:t>
      </w:r>
      <w:r w:rsidRPr="0076445B">
        <w:rPr>
          <w:rFonts w:ascii="Arial" w:hAnsi="Arial" w:cs="Arial"/>
          <w:sz w:val="20"/>
          <w:szCs w:val="20"/>
        </w:rPr>
        <w:t>were distributed into the White, African American, Asian, Pacific Islander and American Indian categories.</w:t>
      </w:r>
    </w:p>
    <w:p w:rsidR="00D46090" w:rsidRDefault="00D46090" w:rsidP="00D42C65">
      <w:pPr>
        <w:pStyle w:val="PlainText"/>
        <w:ind w:left="360"/>
        <w:rPr>
          <w:rFonts w:ascii="Arial" w:hAnsi="Arial" w:cs="Arial"/>
          <w:sz w:val="20"/>
          <w:szCs w:val="20"/>
        </w:rPr>
      </w:pPr>
    </w:p>
    <w:p w:rsidR="00B73784" w:rsidRPr="00B73784" w:rsidRDefault="00B73784" w:rsidP="00B73784">
      <w:pPr>
        <w:ind w:left="360"/>
        <w:rPr>
          <w:rFonts w:ascii="Arial" w:hAnsi="Arial" w:cs="Arial"/>
          <w:sz w:val="20"/>
          <w:szCs w:val="20"/>
        </w:rPr>
      </w:pPr>
    </w:p>
    <w:p w:rsidR="00CB0A02" w:rsidRPr="00102E61" w:rsidRDefault="001C3F0A" w:rsidP="00102E61">
      <w:pPr>
        <w:pStyle w:val="ListParagraph"/>
        <w:rPr>
          <w:rFonts w:ascii="Arial" w:hAnsi="Arial" w:cs="Arial"/>
          <w:sz w:val="20"/>
          <w:szCs w:val="20"/>
        </w:rPr>
      </w:pPr>
      <w:r w:rsidRPr="001C3F0A">
        <w:rPr>
          <w:noProof/>
          <w:lang w:eastAsia="ko-KR"/>
        </w:rPr>
        <w:drawing>
          <wp:inline distT="0" distB="0" distL="0" distR="0" wp14:anchorId="71BC3A93" wp14:editId="5D200BBE">
            <wp:extent cx="5943600" cy="65349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34928"/>
                    </a:xfrm>
                    <a:prstGeom prst="rect">
                      <a:avLst/>
                    </a:prstGeom>
                    <a:noFill/>
                    <a:ln>
                      <a:noFill/>
                    </a:ln>
                  </pic:spPr>
                </pic:pic>
              </a:graphicData>
            </a:graphic>
          </wp:inline>
        </w:drawing>
      </w:r>
    </w:p>
    <w:p w:rsidR="00102E61" w:rsidRPr="00D34EBF" w:rsidRDefault="00102E61" w:rsidP="00102E61">
      <w:pPr>
        <w:pStyle w:val="ListParagraph"/>
        <w:rPr>
          <w:rFonts w:ascii="Arial" w:hAnsi="Arial" w:cs="Arial"/>
          <w:sz w:val="20"/>
          <w:szCs w:val="20"/>
        </w:rPr>
      </w:pPr>
    </w:p>
    <w:p w:rsidR="00270169" w:rsidRPr="00600DD3" w:rsidRDefault="00270169" w:rsidP="00600DD3">
      <w:pPr>
        <w:pStyle w:val="NormalWeb"/>
        <w:spacing w:before="0" w:beforeAutospacing="0" w:after="0" w:afterAutospacing="0"/>
        <w:rPr>
          <w:rFonts w:ascii="Arial" w:hAnsi="Arial" w:cs="Arial"/>
          <w:sz w:val="20"/>
          <w:szCs w:val="20"/>
        </w:rPr>
      </w:pPr>
    </w:p>
    <w:p w:rsidR="004919B3" w:rsidRDefault="004919B3" w:rsidP="008516D1">
      <w:pPr>
        <w:rPr>
          <w:rFonts w:ascii="Arial" w:hAnsi="Arial" w:cs="Arial"/>
          <w:sz w:val="20"/>
          <w:szCs w:val="20"/>
        </w:rPr>
      </w:pPr>
    </w:p>
    <w:p w:rsidR="004919B3" w:rsidRDefault="004919B3">
      <w:pPr>
        <w:rPr>
          <w:rFonts w:ascii="Arial" w:hAnsi="Arial" w:cs="Arial"/>
          <w:sz w:val="20"/>
          <w:szCs w:val="20"/>
        </w:rPr>
      </w:pPr>
      <w:r>
        <w:rPr>
          <w:rFonts w:ascii="Arial" w:hAnsi="Arial" w:cs="Arial"/>
          <w:sz w:val="20"/>
          <w:szCs w:val="20"/>
        </w:rPr>
        <w:br w:type="page"/>
      </w:r>
    </w:p>
    <w:p w:rsidR="004919B3" w:rsidRDefault="004919B3" w:rsidP="008516D1">
      <w:pPr>
        <w:rPr>
          <w:rFonts w:ascii="Arial" w:hAnsi="Arial" w:cs="Arial"/>
          <w:sz w:val="20"/>
          <w:szCs w:val="20"/>
        </w:rPr>
      </w:pPr>
    </w:p>
    <w:p w:rsidR="00F06512" w:rsidRPr="00270169" w:rsidRDefault="000D3481" w:rsidP="008516D1">
      <w:pPr>
        <w:rPr>
          <w:rFonts w:ascii="Arial" w:hAnsi="Arial" w:cs="Arial"/>
          <w:sz w:val="20"/>
          <w:szCs w:val="20"/>
        </w:rPr>
      </w:pPr>
      <w:r w:rsidRPr="000D3481">
        <w:rPr>
          <w:noProof/>
          <w:lang w:eastAsia="ko-KR"/>
        </w:rPr>
        <w:drawing>
          <wp:inline distT="0" distB="0" distL="0" distR="0" wp14:anchorId="316F58E8" wp14:editId="17B290CE">
            <wp:extent cx="5943600" cy="71715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71546"/>
                    </a:xfrm>
                    <a:prstGeom prst="rect">
                      <a:avLst/>
                    </a:prstGeom>
                    <a:noFill/>
                    <a:ln>
                      <a:noFill/>
                    </a:ln>
                  </pic:spPr>
                </pic:pic>
              </a:graphicData>
            </a:graphic>
          </wp:inline>
        </w:drawing>
      </w:r>
    </w:p>
    <w:p w:rsidR="00141252" w:rsidRDefault="00141252">
      <w:pPr>
        <w:rPr>
          <w:rFonts w:ascii="Arial" w:hAnsi="Arial" w:cs="Arial"/>
          <w:sz w:val="20"/>
          <w:szCs w:val="20"/>
        </w:rPr>
      </w:pPr>
      <w:r>
        <w:rPr>
          <w:rFonts w:ascii="Arial" w:hAnsi="Arial" w:cs="Arial"/>
          <w:sz w:val="20"/>
          <w:szCs w:val="20"/>
        </w:rPr>
        <w:br w:type="page"/>
      </w:r>
    </w:p>
    <w:p w:rsidR="00F06512" w:rsidRPr="00D34EBF" w:rsidRDefault="00334799" w:rsidP="00F06512">
      <w:pPr>
        <w:rPr>
          <w:rFonts w:ascii="Arial" w:hAnsi="Arial" w:cs="Arial"/>
          <w:sz w:val="20"/>
          <w:szCs w:val="20"/>
        </w:rPr>
      </w:pPr>
      <w:r>
        <w:rPr>
          <w:rFonts w:ascii="Arial" w:hAnsi="Arial" w:cs="Arial"/>
          <w:noProof/>
          <w:sz w:val="20"/>
          <w:szCs w:val="20"/>
          <w:lang w:eastAsia="ko-KR"/>
        </w:rPr>
        <w:drawing>
          <wp:inline distT="0" distB="0" distL="0" distR="0">
            <wp:extent cx="6419850" cy="7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7620000"/>
                    </a:xfrm>
                    <a:prstGeom prst="rect">
                      <a:avLst/>
                    </a:prstGeom>
                    <a:noFill/>
                    <a:ln>
                      <a:noFill/>
                    </a:ln>
                  </pic:spPr>
                </pic:pic>
              </a:graphicData>
            </a:graphic>
          </wp:inline>
        </w:drawing>
      </w:r>
    </w:p>
    <w:p w:rsidR="00F06512" w:rsidRPr="00D34EBF" w:rsidRDefault="00F06512" w:rsidP="00F06512">
      <w:pPr>
        <w:rPr>
          <w:rFonts w:ascii="Arial" w:hAnsi="Arial" w:cs="Arial"/>
          <w:sz w:val="20"/>
          <w:szCs w:val="20"/>
        </w:rPr>
      </w:pPr>
      <w:r w:rsidRPr="00D34EBF">
        <w:rPr>
          <w:rFonts w:ascii="Arial" w:hAnsi="Arial" w:cs="Arial"/>
          <w:sz w:val="20"/>
          <w:szCs w:val="20"/>
        </w:rPr>
        <w:t xml:space="preserve">                                                               </w:t>
      </w:r>
    </w:p>
    <w:p w:rsidR="000A02B1" w:rsidRDefault="000A02B1">
      <w:pPr>
        <w:rPr>
          <w:rFonts w:ascii="Arial" w:hAnsi="Arial" w:cs="Arial"/>
          <w:sz w:val="20"/>
          <w:szCs w:val="20"/>
        </w:rPr>
      </w:pPr>
      <w:r>
        <w:rPr>
          <w:rFonts w:ascii="Arial" w:hAnsi="Arial" w:cs="Arial"/>
          <w:sz w:val="20"/>
          <w:szCs w:val="20"/>
        </w:rPr>
        <w:br w:type="page"/>
      </w:r>
    </w:p>
    <w:p w:rsidR="005657F3" w:rsidRDefault="005657F3" w:rsidP="005657F3">
      <w:pPr>
        <w:pStyle w:val="Header"/>
        <w:rPr>
          <w:rFonts w:ascii="Arial" w:hAnsi="Arial" w:cs="Arial"/>
          <w:sz w:val="20"/>
          <w:szCs w:val="20"/>
        </w:rPr>
      </w:pPr>
    </w:p>
    <w:p w:rsidR="00CD69C7" w:rsidRDefault="00705508" w:rsidP="008A5848">
      <w:pPr>
        <w:pStyle w:val="Header"/>
        <w:rPr>
          <w:rFonts w:ascii="Arial" w:hAnsi="Arial" w:cs="Arial"/>
          <w:sz w:val="20"/>
          <w:szCs w:val="20"/>
        </w:rPr>
      </w:pPr>
      <w:r w:rsidRPr="00705508">
        <w:rPr>
          <w:noProof/>
          <w:lang w:eastAsia="ko-KR"/>
        </w:rPr>
        <w:drawing>
          <wp:inline distT="0" distB="0" distL="0" distR="0" wp14:anchorId="175523D0" wp14:editId="384B9BCF">
            <wp:extent cx="5943600" cy="75313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31331"/>
                    </a:xfrm>
                    <a:prstGeom prst="rect">
                      <a:avLst/>
                    </a:prstGeom>
                    <a:noFill/>
                    <a:ln>
                      <a:noFill/>
                    </a:ln>
                  </pic:spPr>
                </pic:pic>
              </a:graphicData>
            </a:graphic>
          </wp:inline>
        </w:drawing>
      </w:r>
    </w:p>
    <w:p w:rsidR="004E1504" w:rsidRDefault="004E1504" w:rsidP="008A5848">
      <w:pPr>
        <w:pStyle w:val="Header"/>
        <w:rPr>
          <w:rFonts w:ascii="Arial" w:hAnsi="Arial" w:cs="Arial"/>
          <w:sz w:val="20"/>
          <w:szCs w:val="20"/>
        </w:rPr>
      </w:pPr>
      <w:r>
        <w:rPr>
          <w:rFonts w:ascii="Arial" w:hAnsi="Arial" w:cs="Arial"/>
          <w:sz w:val="20"/>
          <w:szCs w:val="20"/>
        </w:rPr>
        <w:br w:type="page"/>
      </w:r>
    </w:p>
    <w:p w:rsidR="008A5848" w:rsidRDefault="008A5848" w:rsidP="008A5848">
      <w:pPr>
        <w:pStyle w:val="Header"/>
        <w:ind w:left="360"/>
        <w:rPr>
          <w:rFonts w:ascii="Arial" w:hAnsi="Arial" w:cs="Arial"/>
          <w:b/>
          <w:sz w:val="20"/>
          <w:szCs w:val="20"/>
        </w:rPr>
      </w:pPr>
    </w:p>
    <w:p w:rsidR="00A648F8" w:rsidRDefault="00705508" w:rsidP="008A5848">
      <w:pPr>
        <w:pStyle w:val="Header"/>
        <w:ind w:left="360"/>
      </w:pPr>
      <w:r w:rsidRPr="00705508">
        <w:rPr>
          <w:noProof/>
          <w:lang w:eastAsia="ko-KR"/>
        </w:rPr>
        <w:drawing>
          <wp:inline distT="0" distB="0" distL="0" distR="0" wp14:anchorId="47A52559" wp14:editId="2596964F">
            <wp:extent cx="5943600" cy="7586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86160"/>
                    </a:xfrm>
                    <a:prstGeom prst="rect">
                      <a:avLst/>
                    </a:prstGeom>
                    <a:noFill/>
                    <a:ln>
                      <a:noFill/>
                    </a:ln>
                  </pic:spPr>
                </pic:pic>
              </a:graphicData>
            </a:graphic>
          </wp:inline>
        </w:drawing>
      </w:r>
    </w:p>
    <w:p w:rsidR="00CD69C7" w:rsidRDefault="00CD69C7" w:rsidP="008A5848">
      <w:pPr>
        <w:pStyle w:val="Header"/>
        <w:ind w:left="360"/>
        <w:rPr>
          <w:rFonts w:ascii="Arial" w:hAnsi="Arial" w:cs="Arial"/>
          <w:b/>
          <w:sz w:val="20"/>
          <w:szCs w:val="20"/>
        </w:rPr>
      </w:pPr>
    </w:p>
    <w:p w:rsidR="008A5848" w:rsidRDefault="008A5848">
      <w:pPr>
        <w:rPr>
          <w:rFonts w:ascii="Arial" w:hAnsi="Arial" w:cs="Arial"/>
          <w:b/>
          <w:sz w:val="20"/>
          <w:szCs w:val="20"/>
        </w:rPr>
      </w:pPr>
      <w:r>
        <w:rPr>
          <w:rFonts w:ascii="Arial" w:hAnsi="Arial" w:cs="Arial"/>
          <w:b/>
          <w:sz w:val="20"/>
          <w:szCs w:val="20"/>
        </w:rPr>
        <w:br w:type="page"/>
      </w:r>
    </w:p>
    <w:p w:rsidR="00804FB5" w:rsidRDefault="004E1504" w:rsidP="00804FB5">
      <w:pPr>
        <w:pStyle w:val="Header"/>
        <w:numPr>
          <w:ilvl w:val="1"/>
          <w:numId w:val="6"/>
        </w:numPr>
        <w:rPr>
          <w:rFonts w:ascii="Arial" w:hAnsi="Arial" w:cs="Arial"/>
          <w:b/>
          <w:sz w:val="20"/>
          <w:szCs w:val="20"/>
        </w:rPr>
      </w:pPr>
      <w:r w:rsidRPr="004E1504">
        <w:rPr>
          <w:rFonts w:ascii="Arial" w:hAnsi="Arial" w:cs="Arial"/>
          <w:b/>
          <w:sz w:val="20"/>
          <w:szCs w:val="20"/>
        </w:rPr>
        <w:t xml:space="preserve"> </w:t>
      </w:r>
      <w:r w:rsidR="00804FB5">
        <w:rPr>
          <w:rFonts w:ascii="Arial" w:hAnsi="Arial" w:cs="Arial"/>
          <w:b/>
          <w:sz w:val="20"/>
          <w:szCs w:val="20"/>
        </w:rPr>
        <w:t>Numeric Examples</w:t>
      </w:r>
      <w:r w:rsidR="00B471EF">
        <w:rPr>
          <w:rFonts w:ascii="Arial" w:hAnsi="Arial" w:cs="Arial"/>
          <w:b/>
          <w:sz w:val="20"/>
          <w:szCs w:val="20"/>
        </w:rPr>
        <w:t xml:space="preserve"> of Impact of Process Steps on Populations by Race-Ethnicity</w:t>
      </w:r>
    </w:p>
    <w:p w:rsidR="00B471EF" w:rsidRDefault="00B471EF" w:rsidP="00B471EF">
      <w:pPr>
        <w:pStyle w:val="Header"/>
        <w:rPr>
          <w:rFonts w:ascii="Arial" w:hAnsi="Arial" w:cs="Arial"/>
          <w:b/>
          <w:sz w:val="20"/>
          <w:szCs w:val="20"/>
        </w:rPr>
      </w:pPr>
    </w:p>
    <w:p w:rsidR="00B471EF" w:rsidRDefault="00B471EF" w:rsidP="00B471EF">
      <w:pPr>
        <w:pStyle w:val="Header"/>
        <w:jc w:val="center"/>
        <w:rPr>
          <w:rFonts w:ascii="Arial" w:hAnsi="Arial" w:cs="Arial"/>
          <w:b/>
          <w:sz w:val="20"/>
          <w:szCs w:val="20"/>
        </w:rPr>
      </w:pPr>
      <w:r>
        <w:rPr>
          <w:rFonts w:ascii="Arial" w:hAnsi="Arial" w:cs="Arial"/>
          <w:b/>
          <w:sz w:val="20"/>
          <w:szCs w:val="20"/>
        </w:rPr>
        <w:t>Table 2.3</w:t>
      </w:r>
    </w:p>
    <w:p w:rsidR="00B471EF" w:rsidRDefault="00B471EF" w:rsidP="00B471EF">
      <w:pPr>
        <w:pStyle w:val="Header"/>
        <w:jc w:val="center"/>
        <w:rPr>
          <w:rFonts w:ascii="Arial" w:hAnsi="Arial" w:cs="Arial"/>
          <w:b/>
          <w:sz w:val="20"/>
          <w:szCs w:val="20"/>
        </w:rPr>
      </w:pPr>
      <w:r>
        <w:rPr>
          <w:rFonts w:ascii="Arial" w:hAnsi="Arial" w:cs="Arial"/>
          <w:b/>
          <w:sz w:val="20"/>
          <w:szCs w:val="20"/>
        </w:rPr>
        <w:t xml:space="preserve">Impact of Steps to </w:t>
      </w:r>
      <w:r w:rsidR="00835B9E">
        <w:rPr>
          <w:rFonts w:ascii="Arial" w:hAnsi="Arial" w:cs="Arial"/>
          <w:b/>
          <w:sz w:val="20"/>
          <w:szCs w:val="20"/>
        </w:rPr>
        <w:t>c</w:t>
      </w:r>
      <w:r>
        <w:rPr>
          <w:rFonts w:ascii="Arial" w:hAnsi="Arial" w:cs="Arial"/>
          <w:b/>
          <w:sz w:val="20"/>
          <w:szCs w:val="20"/>
        </w:rPr>
        <w:t xml:space="preserve">reate </w:t>
      </w:r>
      <w:proofErr w:type="gramStart"/>
      <w:r>
        <w:rPr>
          <w:rFonts w:ascii="Arial" w:hAnsi="Arial" w:cs="Arial"/>
          <w:b/>
          <w:sz w:val="20"/>
          <w:szCs w:val="20"/>
        </w:rPr>
        <w:t>Eight</w:t>
      </w:r>
      <w:proofErr w:type="gramEnd"/>
      <w:r>
        <w:rPr>
          <w:rFonts w:ascii="Arial" w:hAnsi="Arial" w:cs="Arial"/>
          <w:b/>
          <w:sz w:val="20"/>
          <w:szCs w:val="20"/>
        </w:rPr>
        <w:t xml:space="preserve"> </w:t>
      </w:r>
      <w:r w:rsidR="00835B9E">
        <w:rPr>
          <w:rFonts w:ascii="Arial" w:hAnsi="Arial" w:cs="Arial"/>
          <w:b/>
          <w:sz w:val="20"/>
          <w:szCs w:val="20"/>
        </w:rPr>
        <w:t>c</w:t>
      </w:r>
      <w:r>
        <w:rPr>
          <w:rFonts w:ascii="Arial" w:hAnsi="Arial" w:cs="Arial"/>
          <w:b/>
          <w:sz w:val="20"/>
          <w:szCs w:val="20"/>
        </w:rPr>
        <w:t>ategory Race-Ethnicity Estimates for July 1, 2011</w:t>
      </w:r>
    </w:p>
    <w:p w:rsidR="00C2492C" w:rsidRDefault="00945586" w:rsidP="009151F6">
      <w:pPr>
        <w:rPr>
          <w:rFonts w:ascii="Arial" w:hAnsi="Arial" w:cs="Arial"/>
          <w:b/>
          <w:sz w:val="20"/>
          <w:szCs w:val="20"/>
        </w:rPr>
      </w:pPr>
      <w:r w:rsidRPr="00945586">
        <w:rPr>
          <w:noProof/>
          <w:lang w:eastAsia="ko-KR"/>
        </w:rPr>
        <w:drawing>
          <wp:inline distT="0" distB="0" distL="0" distR="0" wp14:anchorId="2598D355" wp14:editId="72F01D92">
            <wp:extent cx="5943600" cy="756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563903"/>
                    </a:xfrm>
                    <a:prstGeom prst="rect">
                      <a:avLst/>
                    </a:prstGeom>
                    <a:noFill/>
                    <a:ln>
                      <a:noFill/>
                    </a:ln>
                  </pic:spPr>
                </pic:pic>
              </a:graphicData>
            </a:graphic>
          </wp:inline>
        </w:drawing>
      </w:r>
    </w:p>
    <w:p w:rsidR="00D42C65" w:rsidRDefault="00D42C65" w:rsidP="00D42C65">
      <w:pPr>
        <w:pStyle w:val="Header"/>
        <w:numPr>
          <w:ilvl w:val="0"/>
          <w:numId w:val="3"/>
        </w:numPr>
        <w:rPr>
          <w:rFonts w:ascii="Arial" w:hAnsi="Arial" w:cs="Arial"/>
          <w:b/>
          <w:sz w:val="20"/>
          <w:szCs w:val="20"/>
        </w:rPr>
      </w:pPr>
      <w:r w:rsidRPr="004E1504">
        <w:rPr>
          <w:rFonts w:ascii="Arial" w:hAnsi="Arial" w:cs="Arial"/>
          <w:b/>
          <w:sz w:val="20"/>
          <w:szCs w:val="20"/>
        </w:rPr>
        <w:t xml:space="preserve">Comments on the Reliability and Use of the Final Population </w:t>
      </w:r>
      <w:r w:rsidR="009151F6">
        <w:rPr>
          <w:rFonts w:ascii="Arial" w:hAnsi="Arial" w:cs="Arial"/>
          <w:b/>
          <w:sz w:val="20"/>
          <w:szCs w:val="20"/>
        </w:rPr>
        <w:t xml:space="preserve">and Poverty </w:t>
      </w:r>
      <w:r w:rsidRPr="004E1504">
        <w:rPr>
          <w:rFonts w:ascii="Arial" w:hAnsi="Arial" w:cs="Arial"/>
          <w:b/>
          <w:sz w:val="20"/>
          <w:szCs w:val="20"/>
        </w:rPr>
        <w:t>Estimates</w:t>
      </w:r>
    </w:p>
    <w:p w:rsidR="00D42C65" w:rsidRDefault="00D42C65" w:rsidP="00D42C65">
      <w:pPr>
        <w:pStyle w:val="Header"/>
        <w:rPr>
          <w:rFonts w:ascii="Arial" w:hAnsi="Arial" w:cs="Arial"/>
          <w:b/>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Our population estimates for July 1, 2011</w:t>
      </w:r>
      <w:r>
        <w:rPr>
          <w:rFonts w:ascii="Arial" w:hAnsi="Arial" w:cs="Arial"/>
          <w:sz w:val="20"/>
          <w:szCs w:val="20"/>
        </w:rPr>
        <w:t xml:space="preserve"> </w:t>
      </w:r>
      <w:r w:rsidRPr="00B82E9E">
        <w:rPr>
          <w:rFonts w:ascii="Arial" w:hAnsi="Arial" w:cs="Arial"/>
          <w:sz w:val="20"/>
          <w:szCs w:val="20"/>
        </w:rPr>
        <w:t xml:space="preserve">are only 15 months from the last decennial census, which contributes to their accuracy. We are confident that they are very useable for planning and evaluation purposes. However, no population estimates are perfect because the source data files, even the baseline counts from the 2010 Census, contain errors. </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 xml:space="preserve">In addition, reasonable modeling assumptions about fertility, mortality and migration trends since the last census will not work perfectly for every age, sex, and race-ethnicity group in every tract-city split. In updating the 2010 counts, we look for evidence of unusual population trends in city population estimates from the California Department of Finance, county population estimates from the Bureau of the Census, and Public Use </w:t>
      </w:r>
      <w:proofErr w:type="spellStart"/>
      <w:r w:rsidRPr="00B82E9E">
        <w:rPr>
          <w:rFonts w:ascii="Arial" w:hAnsi="Arial" w:cs="Arial"/>
          <w:sz w:val="20"/>
          <w:szCs w:val="20"/>
        </w:rPr>
        <w:t>Microsample</w:t>
      </w:r>
      <w:proofErr w:type="spellEnd"/>
      <w:r w:rsidRPr="00B82E9E">
        <w:rPr>
          <w:rFonts w:ascii="Arial" w:hAnsi="Arial" w:cs="Arial"/>
          <w:sz w:val="20"/>
          <w:szCs w:val="20"/>
        </w:rPr>
        <w:t xml:space="preserve"> Area (PUMA) level data from the Bureau’s annual Amer. Community Survey (ACS). We also use Los Angeles County administrative records files that include births, deaths, licensed drivers, registered voters, housing unit files and school enrollments. We make adjustments to our tract-city level estimates to reflect unusual trends, but information on unusual trends is typically not precise and not complete. </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We recommend that data users perform analyses with populations greater than 25,000 by merging tract-city splits or by combining age, sex, race/ethnicity categories. Our data file contains estimates for single year age cohorts and six race-ethnicity groups, which provide substantial detail for analysts. These detailed data categories are there to provide the users with flexibility in doing analyses, however, the users need to be prudent and not work with cell numbers that are too small. There are no simple, precise ways to measure the error in estimates. Groups and areas that have high migration, are usually more difficult to model. Being within 15 months of the 2010 Census, we expect from past experience that most aggregates of our data above 25,000 persons will be within 1 percent of the number that would be obtained if another census had been conducted for July 1, 2011. Aggregates of our data under 500 persons could easily differ by 10% or more from what another census would show.</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 xml:space="preserve">In addition, the user should keep in mind that the 2010 Census, as all censuses, had undercount and </w:t>
      </w:r>
      <w:proofErr w:type="spellStart"/>
      <w:r w:rsidRPr="00B82E9E">
        <w:rPr>
          <w:rFonts w:ascii="Arial" w:hAnsi="Arial" w:cs="Arial"/>
          <w:sz w:val="20"/>
          <w:szCs w:val="20"/>
        </w:rPr>
        <w:t>overcount</w:t>
      </w:r>
      <w:proofErr w:type="spellEnd"/>
      <w:r w:rsidRPr="00B82E9E">
        <w:rPr>
          <w:rFonts w:ascii="Arial" w:hAnsi="Arial" w:cs="Arial"/>
          <w:sz w:val="20"/>
          <w:szCs w:val="20"/>
        </w:rPr>
        <w:t xml:space="preserve"> errors. Mino</w:t>
      </w:r>
      <w:r>
        <w:rPr>
          <w:rFonts w:ascii="Arial" w:hAnsi="Arial" w:cs="Arial"/>
          <w:sz w:val="20"/>
          <w:szCs w:val="20"/>
        </w:rPr>
        <w:t xml:space="preserve">rities, mobile, rural, elderly </w:t>
      </w:r>
      <w:r w:rsidRPr="00B82E9E">
        <w:rPr>
          <w:rFonts w:ascii="Arial" w:hAnsi="Arial" w:cs="Arial"/>
          <w:sz w:val="20"/>
          <w:szCs w:val="20"/>
        </w:rPr>
        <w:t>and other populations that are more difficult to count with standard mail questionnaires are less likely to be counted. These errors are built into all estimates that use the decennial census as a base estimate.</w:t>
      </w:r>
    </w:p>
    <w:p w:rsidR="007C4B74" w:rsidRDefault="007C4B74" w:rsidP="00056B65">
      <w:pPr>
        <w:rPr>
          <w:rFonts w:ascii="Arial" w:hAnsi="Arial" w:cs="Arial"/>
        </w:rPr>
      </w:pPr>
    </w:p>
    <w:p w:rsidR="00BD3445" w:rsidRDefault="00BD3445" w:rsidP="00BD3445">
      <w:pPr>
        <w:pStyle w:val="Header"/>
        <w:rPr>
          <w:rFonts w:ascii="Arial" w:hAnsi="Arial" w:cs="Arial"/>
          <w:b/>
          <w:sz w:val="20"/>
          <w:szCs w:val="20"/>
        </w:rPr>
      </w:pPr>
      <w:r w:rsidRPr="00BD3445">
        <w:rPr>
          <w:rFonts w:ascii="Arial" w:hAnsi="Arial" w:cs="Arial"/>
        </w:rPr>
        <w:br w:type="page"/>
      </w:r>
    </w:p>
    <w:p w:rsidR="004E1504" w:rsidRDefault="004E1504" w:rsidP="005657F3">
      <w:pPr>
        <w:pStyle w:val="Header"/>
        <w:rPr>
          <w:rFonts w:ascii="Arial" w:hAnsi="Arial" w:cs="Arial"/>
          <w:b/>
          <w:sz w:val="20"/>
          <w:szCs w:val="20"/>
        </w:rPr>
      </w:pPr>
    </w:p>
    <w:p w:rsidR="00D42C65" w:rsidRDefault="00D42C65" w:rsidP="00D42C65">
      <w:pPr>
        <w:pStyle w:val="Header"/>
        <w:numPr>
          <w:ilvl w:val="0"/>
          <w:numId w:val="3"/>
        </w:numPr>
        <w:rPr>
          <w:rFonts w:ascii="Arial" w:hAnsi="Arial" w:cs="Arial"/>
          <w:b/>
          <w:sz w:val="20"/>
          <w:szCs w:val="20"/>
        </w:rPr>
      </w:pPr>
      <w:r>
        <w:rPr>
          <w:rFonts w:ascii="Arial" w:hAnsi="Arial" w:cs="Arial"/>
          <w:b/>
          <w:sz w:val="20"/>
          <w:szCs w:val="20"/>
        </w:rPr>
        <w:t>List of Associated Data Products and Their Naming Convention</w:t>
      </w:r>
    </w:p>
    <w:p w:rsidR="00D42C65" w:rsidRDefault="00D42C65" w:rsidP="00D42C65">
      <w:pPr>
        <w:pStyle w:val="Header"/>
        <w:rPr>
          <w:rFonts w:ascii="Arial" w:hAnsi="Arial" w:cs="Arial"/>
          <w:b/>
          <w:sz w:val="20"/>
          <w:szCs w:val="20"/>
        </w:rPr>
      </w:pPr>
    </w:p>
    <w:p w:rsidR="00D42C65" w:rsidRPr="005078A1" w:rsidRDefault="00D42C65" w:rsidP="00D42C65">
      <w:pPr>
        <w:pStyle w:val="Header"/>
        <w:rPr>
          <w:rFonts w:ascii="Arial" w:hAnsi="Arial" w:cs="Arial"/>
          <w:sz w:val="20"/>
          <w:szCs w:val="20"/>
        </w:rPr>
      </w:pPr>
      <w:r w:rsidRPr="005078A1">
        <w:rPr>
          <w:rFonts w:ascii="Arial" w:hAnsi="Arial" w:cs="Arial"/>
          <w:sz w:val="20"/>
          <w:szCs w:val="20"/>
        </w:rPr>
        <w:t xml:space="preserve">In association with the current </w:t>
      </w:r>
      <w:r w:rsidR="00BF4711">
        <w:rPr>
          <w:rFonts w:ascii="Arial" w:hAnsi="Arial" w:cs="Arial"/>
          <w:sz w:val="20"/>
          <w:szCs w:val="20"/>
        </w:rPr>
        <w:t xml:space="preserve">estimates </w:t>
      </w:r>
      <w:r w:rsidRPr="005078A1">
        <w:rPr>
          <w:rFonts w:ascii="Arial" w:hAnsi="Arial" w:cs="Arial"/>
          <w:sz w:val="20"/>
          <w:szCs w:val="20"/>
        </w:rPr>
        <w:t xml:space="preserve">we will be producing estimates for </w:t>
      </w:r>
      <w:r w:rsidR="00BF4711">
        <w:rPr>
          <w:rFonts w:ascii="Arial" w:hAnsi="Arial" w:cs="Arial"/>
          <w:sz w:val="20"/>
          <w:szCs w:val="20"/>
        </w:rPr>
        <w:t>other years and special populations</w:t>
      </w:r>
      <w:r w:rsidRPr="005078A1">
        <w:rPr>
          <w:rFonts w:ascii="Arial" w:hAnsi="Arial" w:cs="Arial"/>
          <w:sz w:val="20"/>
          <w:szCs w:val="20"/>
        </w:rPr>
        <w:t>.</w:t>
      </w:r>
      <w:r>
        <w:rPr>
          <w:rFonts w:ascii="Arial" w:hAnsi="Arial" w:cs="Arial"/>
          <w:sz w:val="20"/>
          <w:szCs w:val="20"/>
        </w:rPr>
        <w:t xml:space="preserve">  The variable naming conventions for all the files have been standardized to facilitate their use. </w:t>
      </w:r>
    </w:p>
    <w:p w:rsidR="00D42C65" w:rsidRDefault="00D42C65" w:rsidP="00D42C65">
      <w:pPr>
        <w:pStyle w:val="Header"/>
        <w:rPr>
          <w:rFonts w:ascii="Arial" w:hAnsi="Arial" w:cs="Arial"/>
          <w:b/>
          <w:sz w:val="20"/>
          <w:szCs w:val="20"/>
        </w:rPr>
      </w:pPr>
    </w:p>
    <w:p w:rsidR="00D42C65" w:rsidRPr="00B82E9E" w:rsidRDefault="00D42C65" w:rsidP="00D42C65">
      <w:pPr>
        <w:rPr>
          <w:rFonts w:ascii="Arial" w:hAnsi="Arial" w:cs="Arial"/>
          <w:b/>
          <w:sz w:val="20"/>
          <w:szCs w:val="20"/>
        </w:rPr>
      </w:pPr>
      <w:r w:rsidRPr="00B82E9E">
        <w:rPr>
          <w:rFonts w:ascii="Arial" w:hAnsi="Arial" w:cs="Arial"/>
          <w:b/>
          <w:sz w:val="20"/>
          <w:szCs w:val="20"/>
        </w:rPr>
        <w:t>Variable Naming Conventions</w:t>
      </w:r>
    </w:p>
    <w:p w:rsidR="00D42C65" w:rsidRPr="00B82E9E" w:rsidRDefault="00D42C65" w:rsidP="00D42C65">
      <w:pPr>
        <w:rPr>
          <w:rFonts w:ascii="Arial" w:hAnsi="Arial" w:cs="Arial"/>
          <w:b/>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The</w:t>
      </w:r>
      <w:r>
        <w:rPr>
          <w:rFonts w:ascii="Arial" w:hAnsi="Arial" w:cs="Arial"/>
          <w:sz w:val="20"/>
          <w:szCs w:val="20"/>
        </w:rPr>
        <w:t xml:space="preserve"> mnemonic naming conventions for our variables </w:t>
      </w:r>
      <w:r w:rsidRPr="00B82E9E">
        <w:rPr>
          <w:rFonts w:ascii="Arial" w:hAnsi="Arial" w:cs="Arial"/>
          <w:sz w:val="20"/>
          <w:szCs w:val="20"/>
        </w:rPr>
        <w:t xml:space="preserve">are </w:t>
      </w:r>
      <w:proofErr w:type="gramStart"/>
      <w:r>
        <w:rPr>
          <w:rFonts w:ascii="Arial" w:hAnsi="Arial" w:cs="Arial"/>
          <w:sz w:val="20"/>
          <w:szCs w:val="20"/>
        </w:rPr>
        <w:t>as  follows</w:t>
      </w:r>
      <w:proofErr w:type="gramEnd"/>
      <w:r>
        <w:rPr>
          <w:rFonts w:ascii="Arial" w:hAnsi="Arial" w:cs="Arial"/>
          <w:sz w:val="20"/>
          <w:szCs w:val="20"/>
        </w:rPr>
        <w:t>:</w:t>
      </w:r>
      <w:r w:rsidRPr="00B82E9E">
        <w:rPr>
          <w:rFonts w:ascii="Arial" w:hAnsi="Arial" w:cs="Arial"/>
          <w:sz w:val="20"/>
          <w:szCs w:val="20"/>
        </w:rPr>
        <w:t xml:space="preserve"> </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i/>
          <w:sz w:val="20"/>
          <w:szCs w:val="20"/>
        </w:rPr>
      </w:pPr>
      <w:r w:rsidRPr="00B82E9E">
        <w:rPr>
          <w:rFonts w:ascii="Arial" w:hAnsi="Arial" w:cs="Arial"/>
          <w:i/>
          <w:sz w:val="20"/>
          <w:szCs w:val="20"/>
        </w:rPr>
        <w:t>Geographic Variables</w:t>
      </w:r>
    </w:p>
    <w:p w:rsidR="00D42C65" w:rsidRPr="00B82E9E" w:rsidRDefault="00D42C65" w:rsidP="00D42C65">
      <w:pPr>
        <w:ind w:left="1440" w:hanging="720"/>
        <w:rPr>
          <w:rFonts w:ascii="Arial" w:hAnsi="Arial" w:cs="Arial"/>
          <w:sz w:val="20"/>
          <w:szCs w:val="20"/>
        </w:rPr>
      </w:pPr>
    </w:p>
    <w:p w:rsidR="00D42C65" w:rsidRPr="00B82E9E" w:rsidRDefault="00D42C65" w:rsidP="00D42C65">
      <w:pPr>
        <w:ind w:left="1440" w:hanging="720"/>
        <w:rPr>
          <w:rFonts w:ascii="Arial" w:hAnsi="Arial" w:cs="Arial"/>
          <w:sz w:val="20"/>
          <w:szCs w:val="20"/>
        </w:rPr>
      </w:pPr>
      <w:r w:rsidRPr="00B82E9E">
        <w:rPr>
          <w:rFonts w:ascii="Arial" w:hAnsi="Arial" w:cs="Arial"/>
          <w:sz w:val="20"/>
          <w:szCs w:val="20"/>
        </w:rPr>
        <w:t>CT</w:t>
      </w:r>
      <w:r>
        <w:rPr>
          <w:rFonts w:ascii="Arial" w:hAnsi="Arial" w:cs="Arial"/>
          <w:sz w:val="20"/>
          <w:szCs w:val="20"/>
        </w:rPr>
        <w:t>10</w:t>
      </w:r>
      <w:r w:rsidRPr="00B82E9E">
        <w:rPr>
          <w:rFonts w:ascii="Arial" w:hAnsi="Arial" w:cs="Arial"/>
          <w:sz w:val="20"/>
          <w:szCs w:val="20"/>
        </w:rPr>
        <w:t xml:space="preserve"> </w:t>
      </w:r>
      <w:r w:rsidRPr="00B82E9E">
        <w:rPr>
          <w:rFonts w:ascii="Arial" w:hAnsi="Arial" w:cs="Arial"/>
          <w:sz w:val="20"/>
          <w:szCs w:val="20"/>
        </w:rPr>
        <w:tab/>
      </w:r>
      <w:r w:rsidRPr="00B82E9E">
        <w:rPr>
          <w:rFonts w:ascii="Arial" w:hAnsi="Arial" w:cs="Arial"/>
          <w:sz w:val="20"/>
          <w:szCs w:val="20"/>
        </w:rPr>
        <w:tab/>
        <w:t>=</w:t>
      </w:r>
      <w:r w:rsidRPr="00B82E9E">
        <w:rPr>
          <w:rFonts w:ascii="Arial" w:hAnsi="Arial" w:cs="Arial"/>
          <w:sz w:val="20"/>
          <w:szCs w:val="20"/>
        </w:rPr>
        <w:tab/>
        <w:t>20</w:t>
      </w:r>
      <w:r>
        <w:rPr>
          <w:rFonts w:ascii="Arial" w:hAnsi="Arial" w:cs="Arial"/>
          <w:sz w:val="20"/>
          <w:szCs w:val="20"/>
        </w:rPr>
        <w:t>10</w:t>
      </w:r>
      <w:r w:rsidRPr="00B82E9E">
        <w:rPr>
          <w:rFonts w:ascii="Arial" w:hAnsi="Arial" w:cs="Arial"/>
          <w:sz w:val="20"/>
          <w:szCs w:val="20"/>
        </w:rPr>
        <w:t xml:space="preserve"> census tract identification number</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FIPS</w:t>
      </w:r>
      <w:r>
        <w:rPr>
          <w:rFonts w:ascii="Arial" w:hAnsi="Arial" w:cs="Arial"/>
          <w:sz w:val="20"/>
          <w:szCs w:val="20"/>
        </w:rPr>
        <w:t>1</w:t>
      </w:r>
      <w:r w:rsidRPr="00B82E9E">
        <w:rPr>
          <w:rFonts w:ascii="Arial" w:hAnsi="Arial" w:cs="Arial"/>
          <w:sz w:val="20"/>
          <w:szCs w:val="20"/>
        </w:rPr>
        <w:t>0</w:t>
      </w:r>
      <w:r w:rsidRPr="00B82E9E">
        <w:rPr>
          <w:rFonts w:ascii="Arial" w:hAnsi="Arial" w:cs="Arial"/>
          <w:sz w:val="20"/>
          <w:szCs w:val="20"/>
        </w:rPr>
        <w:tab/>
      </w:r>
      <w:r w:rsidRPr="00B82E9E">
        <w:rPr>
          <w:rFonts w:ascii="Arial" w:hAnsi="Arial" w:cs="Arial"/>
          <w:sz w:val="20"/>
          <w:szCs w:val="20"/>
        </w:rPr>
        <w:tab/>
        <w:t>=</w:t>
      </w:r>
      <w:r w:rsidRPr="00B82E9E">
        <w:rPr>
          <w:rFonts w:ascii="Arial" w:hAnsi="Arial" w:cs="Arial"/>
          <w:sz w:val="20"/>
          <w:szCs w:val="20"/>
        </w:rPr>
        <w:tab/>
        <w:t>20</w:t>
      </w:r>
      <w:r>
        <w:rPr>
          <w:rFonts w:ascii="Arial" w:hAnsi="Arial" w:cs="Arial"/>
          <w:sz w:val="20"/>
          <w:szCs w:val="20"/>
        </w:rPr>
        <w:t>10</w:t>
      </w:r>
      <w:r w:rsidRPr="00B82E9E">
        <w:rPr>
          <w:rFonts w:ascii="Arial" w:hAnsi="Arial" w:cs="Arial"/>
          <w:sz w:val="20"/>
          <w:szCs w:val="20"/>
        </w:rPr>
        <w:t xml:space="preserve"> census city identification code</w:t>
      </w:r>
    </w:p>
    <w:p w:rsidR="00D42C65" w:rsidRPr="00B82E9E" w:rsidRDefault="00D42C65" w:rsidP="00D42C65">
      <w:pPr>
        <w:ind w:firstLine="720"/>
        <w:rPr>
          <w:rFonts w:ascii="Arial" w:hAnsi="Arial" w:cs="Arial"/>
          <w:sz w:val="20"/>
          <w:szCs w:val="20"/>
        </w:rPr>
      </w:pP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i/>
          <w:sz w:val="20"/>
          <w:szCs w:val="20"/>
        </w:rPr>
      </w:pPr>
      <w:r w:rsidRPr="00B82E9E">
        <w:rPr>
          <w:rFonts w:ascii="Arial" w:hAnsi="Arial" w:cs="Arial"/>
          <w:i/>
          <w:sz w:val="20"/>
          <w:szCs w:val="20"/>
        </w:rPr>
        <w:t>Population and Poverty Variables</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 xml:space="preserve">The codes for the poverty estimate variable names are as follows. The first character indicates race: </w:t>
      </w:r>
    </w:p>
    <w:p w:rsidR="00D42C65" w:rsidRPr="00B82E9E" w:rsidRDefault="00D42C65" w:rsidP="00D42C65">
      <w:pPr>
        <w:ind w:firstLine="720"/>
        <w:rPr>
          <w:rFonts w:ascii="Arial" w:hAnsi="Arial" w:cs="Arial"/>
          <w:sz w:val="20"/>
          <w:szCs w:val="20"/>
        </w:rPr>
      </w:pPr>
    </w:p>
    <w:p w:rsidR="00D42C65" w:rsidRPr="00B82E9E" w:rsidRDefault="00D42C65" w:rsidP="00D42C65">
      <w:pPr>
        <w:ind w:firstLine="720"/>
        <w:rPr>
          <w:rFonts w:ascii="Arial" w:hAnsi="Arial" w:cs="Arial"/>
          <w:sz w:val="20"/>
          <w:szCs w:val="20"/>
        </w:rPr>
      </w:pPr>
      <w:r w:rsidRPr="00B82E9E">
        <w:rPr>
          <w:rFonts w:ascii="Arial" w:hAnsi="Arial" w:cs="Arial"/>
          <w:sz w:val="20"/>
          <w:szCs w:val="20"/>
        </w:rPr>
        <w:t>W</w:t>
      </w:r>
      <w:r w:rsidRPr="00B82E9E">
        <w:rPr>
          <w:rFonts w:ascii="Arial" w:hAnsi="Arial" w:cs="Arial"/>
          <w:sz w:val="20"/>
          <w:szCs w:val="20"/>
        </w:rPr>
        <w:tab/>
        <w:t>=</w:t>
      </w:r>
      <w:r w:rsidRPr="00B82E9E">
        <w:rPr>
          <w:rFonts w:ascii="Arial" w:hAnsi="Arial" w:cs="Arial"/>
          <w:sz w:val="20"/>
          <w:szCs w:val="20"/>
        </w:rPr>
        <w:tab/>
        <w:t>White Non-Hispanics</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B</w:t>
      </w:r>
      <w:r w:rsidRPr="00B82E9E">
        <w:rPr>
          <w:rFonts w:ascii="Arial" w:hAnsi="Arial" w:cs="Arial"/>
          <w:sz w:val="20"/>
          <w:szCs w:val="20"/>
        </w:rPr>
        <w:tab/>
        <w:t>=</w:t>
      </w:r>
      <w:r w:rsidRPr="00B82E9E">
        <w:rPr>
          <w:rFonts w:ascii="Arial" w:hAnsi="Arial" w:cs="Arial"/>
          <w:sz w:val="20"/>
          <w:szCs w:val="20"/>
        </w:rPr>
        <w:tab/>
        <w:t>Black or African American Non-Hispanics</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I</w:t>
      </w:r>
      <w:r w:rsidRPr="00B82E9E">
        <w:rPr>
          <w:rFonts w:ascii="Arial" w:hAnsi="Arial" w:cs="Arial"/>
          <w:sz w:val="20"/>
          <w:szCs w:val="20"/>
        </w:rPr>
        <w:tab/>
        <w:t>=</w:t>
      </w:r>
      <w:r w:rsidRPr="00B82E9E">
        <w:rPr>
          <w:rFonts w:ascii="Arial" w:hAnsi="Arial" w:cs="Arial"/>
          <w:sz w:val="20"/>
          <w:szCs w:val="20"/>
        </w:rPr>
        <w:tab/>
        <w:t>American Indian or Alaskan Native Non-Hispanics</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A</w:t>
      </w:r>
      <w:r w:rsidRPr="00B82E9E">
        <w:rPr>
          <w:rFonts w:ascii="Arial" w:hAnsi="Arial" w:cs="Arial"/>
          <w:sz w:val="20"/>
          <w:szCs w:val="20"/>
        </w:rPr>
        <w:tab/>
        <w:t>=</w:t>
      </w:r>
      <w:r w:rsidRPr="00B82E9E">
        <w:rPr>
          <w:rFonts w:ascii="Arial" w:hAnsi="Arial" w:cs="Arial"/>
          <w:sz w:val="20"/>
          <w:szCs w:val="20"/>
        </w:rPr>
        <w:tab/>
        <w:t>Asian Non-Hispanics</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P</w:t>
      </w:r>
      <w:r w:rsidRPr="00B82E9E">
        <w:rPr>
          <w:rFonts w:ascii="Arial" w:hAnsi="Arial" w:cs="Arial"/>
          <w:sz w:val="20"/>
          <w:szCs w:val="20"/>
        </w:rPr>
        <w:tab/>
        <w:t>=</w:t>
      </w:r>
      <w:r w:rsidRPr="00B82E9E">
        <w:rPr>
          <w:rFonts w:ascii="Arial" w:hAnsi="Arial" w:cs="Arial"/>
          <w:sz w:val="20"/>
          <w:szCs w:val="20"/>
        </w:rPr>
        <w:tab/>
        <w:t>Pacific Islander or Hawaiian Native Non-Hispanics</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H</w:t>
      </w:r>
      <w:r w:rsidRPr="00B82E9E">
        <w:rPr>
          <w:rFonts w:ascii="Arial" w:hAnsi="Arial" w:cs="Arial"/>
          <w:sz w:val="20"/>
          <w:szCs w:val="20"/>
        </w:rPr>
        <w:tab/>
        <w:t>=</w:t>
      </w:r>
      <w:r w:rsidRPr="00B82E9E">
        <w:rPr>
          <w:rFonts w:ascii="Arial" w:hAnsi="Arial" w:cs="Arial"/>
          <w:sz w:val="20"/>
          <w:szCs w:val="20"/>
        </w:rPr>
        <w:tab/>
        <w:t xml:space="preserve">Hispanic  </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 xml:space="preserve">Second character indicates sex: </w:t>
      </w:r>
    </w:p>
    <w:p w:rsidR="00D42C65" w:rsidRPr="00B82E9E" w:rsidRDefault="00D42C65" w:rsidP="00D42C65">
      <w:pPr>
        <w:ind w:firstLine="720"/>
        <w:rPr>
          <w:rFonts w:ascii="Arial" w:hAnsi="Arial" w:cs="Arial"/>
          <w:sz w:val="20"/>
          <w:szCs w:val="20"/>
        </w:rPr>
      </w:pPr>
    </w:p>
    <w:p w:rsidR="00D42C65" w:rsidRPr="00B82E9E" w:rsidRDefault="00D42C65" w:rsidP="00D42C65">
      <w:pPr>
        <w:ind w:firstLine="720"/>
        <w:rPr>
          <w:rFonts w:ascii="Arial" w:hAnsi="Arial" w:cs="Arial"/>
          <w:sz w:val="20"/>
          <w:szCs w:val="20"/>
        </w:rPr>
      </w:pPr>
      <w:r w:rsidRPr="00B82E9E">
        <w:rPr>
          <w:rFonts w:ascii="Arial" w:hAnsi="Arial" w:cs="Arial"/>
          <w:sz w:val="20"/>
          <w:szCs w:val="20"/>
        </w:rPr>
        <w:t>F</w:t>
      </w:r>
      <w:r w:rsidRPr="00B82E9E">
        <w:rPr>
          <w:rFonts w:ascii="Arial" w:hAnsi="Arial" w:cs="Arial"/>
          <w:sz w:val="20"/>
          <w:szCs w:val="20"/>
        </w:rPr>
        <w:tab/>
        <w:t>=</w:t>
      </w:r>
      <w:r w:rsidRPr="00B82E9E">
        <w:rPr>
          <w:rFonts w:ascii="Arial" w:hAnsi="Arial" w:cs="Arial"/>
          <w:sz w:val="20"/>
          <w:szCs w:val="20"/>
        </w:rPr>
        <w:tab/>
        <w:t xml:space="preserve">Female </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M</w:t>
      </w:r>
      <w:r w:rsidRPr="00B82E9E">
        <w:rPr>
          <w:rFonts w:ascii="Arial" w:hAnsi="Arial" w:cs="Arial"/>
          <w:sz w:val="20"/>
          <w:szCs w:val="20"/>
        </w:rPr>
        <w:tab/>
        <w:t>=</w:t>
      </w:r>
      <w:r w:rsidRPr="00B82E9E">
        <w:rPr>
          <w:rFonts w:ascii="Arial" w:hAnsi="Arial" w:cs="Arial"/>
          <w:sz w:val="20"/>
          <w:szCs w:val="20"/>
        </w:rPr>
        <w:tab/>
        <w:t xml:space="preserve">Male </w:t>
      </w: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 xml:space="preserve">The third and fourth characters indicate year. For example, </w:t>
      </w:r>
    </w:p>
    <w:p w:rsidR="00D42C65" w:rsidRPr="00B82E9E" w:rsidRDefault="00D42C65" w:rsidP="00D42C65">
      <w:pPr>
        <w:ind w:firstLine="720"/>
        <w:rPr>
          <w:rFonts w:ascii="Arial" w:hAnsi="Arial" w:cs="Arial"/>
          <w:sz w:val="20"/>
          <w:szCs w:val="20"/>
        </w:rPr>
      </w:pPr>
    </w:p>
    <w:p w:rsidR="00D42C65" w:rsidRPr="00B82E9E" w:rsidRDefault="00D42C65" w:rsidP="00D42C65">
      <w:pPr>
        <w:ind w:firstLine="720"/>
        <w:rPr>
          <w:rFonts w:ascii="Arial" w:hAnsi="Arial" w:cs="Arial"/>
          <w:sz w:val="20"/>
          <w:szCs w:val="20"/>
        </w:rPr>
      </w:pPr>
      <w:r>
        <w:rPr>
          <w:rFonts w:ascii="Arial" w:hAnsi="Arial" w:cs="Arial"/>
          <w:sz w:val="20"/>
          <w:szCs w:val="20"/>
        </w:rPr>
        <w:t>10</w:t>
      </w:r>
      <w:r w:rsidRPr="00B82E9E">
        <w:rPr>
          <w:rFonts w:ascii="Arial" w:hAnsi="Arial" w:cs="Arial"/>
          <w:sz w:val="20"/>
          <w:szCs w:val="20"/>
        </w:rPr>
        <w:t xml:space="preserve"> </w:t>
      </w:r>
      <w:r w:rsidRPr="00B82E9E">
        <w:rPr>
          <w:rFonts w:ascii="Arial" w:hAnsi="Arial" w:cs="Arial"/>
          <w:sz w:val="20"/>
          <w:szCs w:val="20"/>
        </w:rPr>
        <w:tab/>
        <w:t xml:space="preserve">= </w:t>
      </w:r>
      <w:r w:rsidRPr="00B82E9E">
        <w:rPr>
          <w:rFonts w:ascii="Arial" w:hAnsi="Arial" w:cs="Arial"/>
          <w:sz w:val="20"/>
          <w:szCs w:val="20"/>
        </w:rPr>
        <w:tab/>
        <w:t>20</w:t>
      </w:r>
      <w:r>
        <w:rPr>
          <w:rFonts w:ascii="Arial" w:hAnsi="Arial" w:cs="Arial"/>
          <w:sz w:val="20"/>
          <w:szCs w:val="20"/>
        </w:rPr>
        <w:t>10</w:t>
      </w:r>
    </w:p>
    <w:p w:rsidR="00D42C65" w:rsidRPr="00B82E9E" w:rsidRDefault="00D42C65" w:rsidP="00D42C65">
      <w:pPr>
        <w:ind w:firstLine="720"/>
        <w:rPr>
          <w:rFonts w:ascii="Arial" w:hAnsi="Arial" w:cs="Arial"/>
          <w:sz w:val="20"/>
          <w:szCs w:val="20"/>
        </w:rPr>
      </w:pPr>
    </w:p>
    <w:p w:rsidR="00D42C65" w:rsidRDefault="00D42C65" w:rsidP="00D42C65">
      <w:pPr>
        <w:rPr>
          <w:rFonts w:ascii="Arial" w:hAnsi="Arial" w:cs="Arial"/>
          <w:sz w:val="20"/>
          <w:szCs w:val="20"/>
        </w:rPr>
      </w:pPr>
      <w:r w:rsidRPr="00B82E9E">
        <w:rPr>
          <w:rFonts w:ascii="Arial" w:hAnsi="Arial" w:cs="Arial"/>
          <w:sz w:val="20"/>
          <w:szCs w:val="20"/>
        </w:rPr>
        <w:t xml:space="preserve">If the fifth character is an underscore, the variable is a population estimate. If the fifth character is a letter, it indicates a </w:t>
      </w:r>
      <w:r>
        <w:rPr>
          <w:rFonts w:ascii="Arial" w:hAnsi="Arial" w:cs="Arial"/>
          <w:sz w:val="20"/>
          <w:szCs w:val="20"/>
        </w:rPr>
        <w:t xml:space="preserve">federal </w:t>
      </w:r>
      <w:r w:rsidRPr="00B82E9E">
        <w:rPr>
          <w:rFonts w:ascii="Arial" w:hAnsi="Arial" w:cs="Arial"/>
          <w:sz w:val="20"/>
          <w:szCs w:val="20"/>
        </w:rPr>
        <w:t xml:space="preserve">poverty </w:t>
      </w:r>
      <w:r>
        <w:rPr>
          <w:rFonts w:ascii="Arial" w:hAnsi="Arial" w:cs="Arial"/>
          <w:sz w:val="20"/>
          <w:szCs w:val="20"/>
        </w:rPr>
        <w:t xml:space="preserve">level </w:t>
      </w:r>
      <w:r w:rsidRPr="00B82E9E">
        <w:rPr>
          <w:rFonts w:ascii="Arial" w:hAnsi="Arial" w:cs="Arial"/>
          <w:sz w:val="20"/>
          <w:szCs w:val="20"/>
        </w:rPr>
        <w:t>estimate. For example,</w:t>
      </w:r>
    </w:p>
    <w:p w:rsidR="00D42C65" w:rsidRPr="00B82E9E" w:rsidRDefault="00D42C65" w:rsidP="00D42C65">
      <w:pPr>
        <w:rPr>
          <w:rFonts w:ascii="Arial" w:hAnsi="Arial" w:cs="Arial"/>
          <w:sz w:val="20"/>
          <w:szCs w:val="20"/>
        </w:rPr>
      </w:pPr>
      <w:r w:rsidRPr="00B82E9E">
        <w:rPr>
          <w:rFonts w:ascii="Arial" w:hAnsi="Arial" w:cs="Arial"/>
          <w:sz w:val="20"/>
          <w:szCs w:val="20"/>
        </w:rPr>
        <w:t xml:space="preserve"> </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 xml:space="preserve">“_” </w:t>
      </w:r>
      <w:r>
        <w:rPr>
          <w:rFonts w:ascii="Arial" w:hAnsi="Arial" w:cs="Arial"/>
          <w:sz w:val="20"/>
          <w:szCs w:val="20"/>
        </w:rPr>
        <w:tab/>
      </w:r>
      <w:r w:rsidRPr="00B82E9E">
        <w:rPr>
          <w:rFonts w:ascii="Arial" w:hAnsi="Arial" w:cs="Arial"/>
          <w:sz w:val="20"/>
          <w:szCs w:val="20"/>
        </w:rPr>
        <w:t xml:space="preserve">=   </w:t>
      </w:r>
      <w:r>
        <w:rPr>
          <w:rFonts w:ascii="Arial" w:hAnsi="Arial" w:cs="Arial"/>
          <w:sz w:val="20"/>
          <w:szCs w:val="20"/>
        </w:rPr>
        <w:tab/>
      </w:r>
      <w:r w:rsidRPr="00B82E9E">
        <w:rPr>
          <w:rFonts w:ascii="Arial" w:hAnsi="Arial" w:cs="Arial"/>
          <w:sz w:val="20"/>
          <w:szCs w:val="20"/>
        </w:rPr>
        <w:t>population estimate</w:t>
      </w:r>
    </w:p>
    <w:p w:rsidR="00D42C65" w:rsidRPr="00B82E9E" w:rsidRDefault="00D42C65" w:rsidP="00D42C65">
      <w:pPr>
        <w:ind w:firstLine="720"/>
        <w:rPr>
          <w:rFonts w:ascii="Arial" w:hAnsi="Arial" w:cs="Arial"/>
          <w:sz w:val="20"/>
          <w:szCs w:val="20"/>
        </w:rPr>
      </w:pPr>
      <w:r w:rsidRPr="00B82E9E">
        <w:rPr>
          <w:rFonts w:ascii="Arial" w:hAnsi="Arial" w:cs="Arial"/>
          <w:sz w:val="20"/>
          <w:szCs w:val="20"/>
        </w:rPr>
        <w:t>“</w:t>
      </w:r>
      <w:proofErr w:type="gramStart"/>
      <w:r>
        <w:rPr>
          <w:rFonts w:ascii="Arial" w:hAnsi="Arial" w:cs="Arial"/>
          <w:sz w:val="20"/>
          <w:szCs w:val="20"/>
        </w:rPr>
        <w:t>a</w:t>
      </w:r>
      <w:proofErr w:type="gramEnd"/>
      <w:r w:rsidRPr="00B82E9E">
        <w:rPr>
          <w:rFonts w:ascii="Arial" w:hAnsi="Arial" w:cs="Arial"/>
          <w:sz w:val="20"/>
          <w:szCs w:val="20"/>
        </w:rPr>
        <w:t>”</w:t>
      </w:r>
      <w:r w:rsidRPr="00B82E9E">
        <w:rPr>
          <w:rFonts w:ascii="Arial" w:hAnsi="Arial" w:cs="Arial"/>
          <w:sz w:val="20"/>
          <w:szCs w:val="20"/>
        </w:rPr>
        <w:tab/>
        <w:t>=</w:t>
      </w:r>
      <w:r w:rsidRPr="00B82E9E">
        <w:rPr>
          <w:rFonts w:ascii="Arial" w:hAnsi="Arial" w:cs="Arial"/>
          <w:sz w:val="20"/>
          <w:szCs w:val="20"/>
        </w:rPr>
        <w:tab/>
        <w:t xml:space="preserve">estimate of persons below the </w:t>
      </w:r>
      <w:r>
        <w:rPr>
          <w:rFonts w:ascii="Arial" w:hAnsi="Arial" w:cs="Arial"/>
          <w:sz w:val="20"/>
          <w:szCs w:val="20"/>
        </w:rPr>
        <w:t xml:space="preserve">100% </w:t>
      </w:r>
      <w:r w:rsidRPr="00B82E9E">
        <w:rPr>
          <w:rFonts w:ascii="Arial" w:hAnsi="Arial" w:cs="Arial"/>
          <w:sz w:val="20"/>
          <w:szCs w:val="20"/>
        </w:rPr>
        <w:t>poverty level</w:t>
      </w:r>
    </w:p>
    <w:p w:rsidR="00D42C65" w:rsidRPr="00B82E9E" w:rsidRDefault="00D42C65" w:rsidP="00D42C65">
      <w:pPr>
        <w:ind w:left="360" w:firstLine="360"/>
        <w:rPr>
          <w:rFonts w:ascii="Arial" w:hAnsi="Arial" w:cs="Arial"/>
          <w:sz w:val="20"/>
          <w:szCs w:val="20"/>
        </w:rPr>
      </w:pPr>
      <w:r w:rsidRPr="00B82E9E">
        <w:rPr>
          <w:rFonts w:ascii="Arial" w:hAnsi="Arial" w:cs="Arial"/>
          <w:sz w:val="20"/>
          <w:szCs w:val="20"/>
        </w:rPr>
        <w:t>“</w:t>
      </w:r>
      <w:proofErr w:type="gramStart"/>
      <w:r>
        <w:rPr>
          <w:rFonts w:ascii="Arial" w:hAnsi="Arial" w:cs="Arial"/>
          <w:sz w:val="20"/>
          <w:szCs w:val="20"/>
        </w:rPr>
        <w:t>b</w:t>
      </w:r>
      <w:proofErr w:type="gramEnd"/>
      <w:r w:rsidRPr="00B82E9E">
        <w:rPr>
          <w:rFonts w:ascii="Arial" w:hAnsi="Arial" w:cs="Arial"/>
          <w:sz w:val="20"/>
          <w:szCs w:val="20"/>
        </w:rPr>
        <w:t>”</w:t>
      </w:r>
      <w:r w:rsidRPr="00B82E9E">
        <w:rPr>
          <w:rFonts w:ascii="Arial" w:hAnsi="Arial" w:cs="Arial"/>
          <w:sz w:val="20"/>
          <w:szCs w:val="20"/>
        </w:rPr>
        <w:tab/>
        <w:t>=</w:t>
      </w:r>
      <w:r w:rsidRPr="00B82E9E">
        <w:rPr>
          <w:rFonts w:ascii="Arial" w:hAnsi="Arial" w:cs="Arial"/>
          <w:sz w:val="20"/>
          <w:szCs w:val="20"/>
        </w:rPr>
        <w:tab/>
        <w:t xml:space="preserve">estimate of persons below </w:t>
      </w:r>
      <w:r>
        <w:rPr>
          <w:rFonts w:ascii="Arial" w:hAnsi="Arial" w:cs="Arial"/>
          <w:sz w:val="20"/>
          <w:szCs w:val="20"/>
        </w:rPr>
        <w:t>130</w:t>
      </w:r>
      <w:r w:rsidRPr="00B82E9E">
        <w:rPr>
          <w:rFonts w:ascii="Arial" w:hAnsi="Arial" w:cs="Arial"/>
          <w:sz w:val="20"/>
          <w:szCs w:val="20"/>
        </w:rPr>
        <w:t xml:space="preserve">% of the poverty level </w:t>
      </w:r>
    </w:p>
    <w:p w:rsidR="00D42C65" w:rsidRDefault="00D42C65" w:rsidP="00D42C65">
      <w:pPr>
        <w:ind w:left="360" w:firstLine="360"/>
        <w:rPr>
          <w:rFonts w:ascii="Arial" w:hAnsi="Arial" w:cs="Arial"/>
          <w:sz w:val="20"/>
          <w:szCs w:val="20"/>
        </w:rPr>
      </w:pPr>
      <w:r w:rsidRPr="00B82E9E">
        <w:rPr>
          <w:rFonts w:ascii="Arial" w:hAnsi="Arial" w:cs="Arial"/>
          <w:sz w:val="20"/>
          <w:szCs w:val="20"/>
        </w:rPr>
        <w:t>“</w:t>
      </w:r>
      <w:proofErr w:type="gramStart"/>
      <w:r>
        <w:rPr>
          <w:rFonts w:ascii="Arial" w:hAnsi="Arial" w:cs="Arial"/>
          <w:sz w:val="20"/>
          <w:szCs w:val="20"/>
        </w:rPr>
        <w:t>c</w:t>
      </w:r>
      <w:proofErr w:type="gramEnd"/>
      <w:r w:rsidRPr="00B82E9E">
        <w:rPr>
          <w:rFonts w:ascii="Arial" w:hAnsi="Arial" w:cs="Arial"/>
          <w:sz w:val="20"/>
          <w:szCs w:val="20"/>
        </w:rPr>
        <w:t>”</w:t>
      </w:r>
      <w:r w:rsidRPr="00B82E9E">
        <w:rPr>
          <w:rFonts w:ascii="Arial" w:hAnsi="Arial" w:cs="Arial"/>
          <w:sz w:val="20"/>
          <w:szCs w:val="20"/>
        </w:rPr>
        <w:tab/>
        <w:t>=</w:t>
      </w:r>
      <w:r w:rsidRPr="00B82E9E">
        <w:rPr>
          <w:rFonts w:ascii="Arial" w:hAnsi="Arial" w:cs="Arial"/>
          <w:sz w:val="20"/>
          <w:szCs w:val="20"/>
        </w:rPr>
        <w:tab/>
        <w:t xml:space="preserve">estimate of persons below </w:t>
      </w:r>
      <w:r>
        <w:rPr>
          <w:rFonts w:ascii="Arial" w:hAnsi="Arial" w:cs="Arial"/>
          <w:sz w:val="20"/>
          <w:szCs w:val="20"/>
        </w:rPr>
        <w:t>133</w:t>
      </w:r>
      <w:r w:rsidRPr="00B82E9E">
        <w:rPr>
          <w:rFonts w:ascii="Arial" w:hAnsi="Arial" w:cs="Arial"/>
          <w:sz w:val="20"/>
          <w:szCs w:val="20"/>
        </w:rPr>
        <w:t xml:space="preserve">% of the poverty level </w:t>
      </w:r>
    </w:p>
    <w:p w:rsidR="00D42C65" w:rsidRPr="00B82E9E" w:rsidRDefault="00D42C65" w:rsidP="00D42C65">
      <w:pPr>
        <w:ind w:left="360" w:firstLine="360"/>
        <w:rPr>
          <w:rFonts w:ascii="Arial" w:hAnsi="Arial" w:cs="Arial"/>
          <w:sz w:val="20"/>
          <w:szCs w:val="20"/>
        </w:rPr>
      </w:pPr>
      <w:r w:rsidRPr="00B82E9E">
        <w:rPr>
          <w:rFonts w:ascii="Arial" w:hAnsi="Arial" w:cs="Arial"/>
          <w:sz w:val="20"/>
          <w:szCs w:val="20"/>
        </w:rPr>
        <w:t>“</w:t>
      </w:r>
      <w:proofErr w:type="gramStart"/>
      <w:r>
        <w:rPr>
          <w:rFonts w:ascii="Arial" w:hAnsi="Arial" w:cs="Arial"/>
          <w:sz w:val="20"/>
          <w:szCs w:val="20"/>
        </w:rPr>
        <w:t>d</w:t>
      </w:r>
      <w:proofErr w:type="gramEnd"/>
      <w:r w:rsidRPr="00B82E9E">
        <w:rPr>
          <w:rFonts w:ascii="Arial" w:hAnsi="Arial" w:cs="Arial"/>
          <w:sz w:val="20"/>
          <w:szCs w:val="20"/>
        </w:rPr>
        <w:t>”</w:t>
      </w:r>
      <w:r w:rsidRPr="00B82E9E">
        <w:rPr>
          <w:rFonts w:ascii="Arial" w:hAnsi="Arial" w:cs="Arial"/>
          <w:sz w:val="20"/>
          <w:szCs w:val="20"/>
        </w:rPr>
        <w:tab/>
        <w:t>=</w:t>
      </w:r>
      <w:r w:rsidRPr="00B82E9E">
        <w:rPr>
          <w:rFonts w:ascii="Arial" w:hAnsi="Arial" w:cs="Arial"/>
          <w:sz w:val="20"/>
          <w:szCs w:val="20"/>
        </w:rPr>
        <w:tab/>
        <w:t xml:space="preserve">estimate of persons below </w:t>
      </w:r>
      <w:r>
        <w:rPr>
          <w:rFonts w:ascii="Arial" w:hAnsi="Arial" w:cs="Arial"/>
          <w:sz w:val="20"/>
          <w:szCs w:val="20"/>
        </w:rPr>
        <w:t>200</w:t>
      </w:r>
      <w:r w:rsidRPr="00B82E9E">
        <w:rPr>
          <w:rFonts w:ascii="Arial" w:hAnsi="Arial" w:cs="Arial"/>
          <w:sz w:val="20"/>
          <w:szCs w:val="20"/>
        </w:rPr>
        <w:t xml:space="preserve">% of the poverty level </w:t>
      </w:r>
    </w:p>
    <w:p w:rsidR="00D42C65" w:rsidRPr="00B82E9E" w:rsidRDefault="00D42C65" w:rsidP="00D42C65">
      <w:pPr>
        <w:ind w:left="360" w:firstLine="360"/>
        <w:rPr>
          <w:rFonts w:ascii="Arial" w:hAnsi="Arial" w:cs="Arial"/>
          <w:sz w:val="20"/>
          <w:szCs w:val="20"/>
        </w:rPr>
      </w:pPr>
    </w:p>
    <w:p w:rsidR="00D42C65" w:rsidRPr="00B82E9E" w:rsidRDefault="00D42C65" w:rsidP="00D42C65">
      <w:pPr>
        <w:rPr>
          <w:rFonts w:ascii="Arial" w:hAnsi="Arial" w:cs="Arial"/>
          <w:sz w:val="20"/>
          <w:szCs w:val="20"/>
        </w:rPr>
      </w:pPr>
    </w:p>
    <w:p w:rsidR="00D42C65" w:rsidRPr="00B82E9E" w:rsidRDefault="00D42C65" w:rsidP="00D42C65">
      <w:pPr>
        <w:rPr>
          <w:rFonts w:ascii="Arial" w:hAnsi="Arial" w:cs="Arial"/>
          <w:sz w:val="20"/>
          <w:szCs w:val="20"/>
        </w:rPr>
      </w:pPr>
      <w:r w:rsidRPr="00B82E9E">
        <w:rPr>
          <w:rFonts w:ascii="Arial" w:hAnsi="Arial" w:cs="Arial"/>
          <w:sz w:val="20"/>
          <w:szCs w:val="20"/>
        </w:rPr>
        <w:t>The final characters indicate the beginning of the age interval; the end of the age interval is one less than the beginning age of the next variable. For example,</w:t>
      </w:r>
    </w:p>
    <w:p w:rsidR="00D42C65" w:rsidRPr="00B82E9E" w:rsidRDefault="00D42C65" w:rsidP="00D42C65">
      <w:pPr>
        <w:ind w:left="720"/>
        <w:rPr>
          <w:rFonts w:ascii="Arial" w:hAnsi="Arial" w:cs="Arial"/>
          <w:sz w:val="20"/>
          <w:szCs w:val="20"/>
        </w:rPr>
      </w:pP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a0</w:t>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Hispanic females age less than 1, below 100% of poverty </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a1</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1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a2</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2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a3</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3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a4</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4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a5</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5 below 100% of poverty</w:t>
      </w:r>
    </w:p>
    <w:p w:rsidR="00D738D3" w:rsidRDefault="00D738D3" w:rsidP="00D738D3">
      <w:pPr>
        <w:ind w:left="720"/>
        <w:rPr>
          <w:rFonts w:ascii="Arial" w:hAnsi="Arial" w:cs="Arial"/>
          <w:sz w:val="20"/>
          <w:szCs w:val="20"/>
        </w:rPr>
      </w:pPr>
    </w:p>
    <w:p w:rsidR="00D738D3" w:rsidRDefault="00D738D3" w:rsidP="00D738D3">
      <w:pPr>
        <w:rPr>
          <w:rFonts w:ascii="Arial" w:hAnsi="Arial" w:cs="Arial"/>
          <w:sz w:val="20"/>
          <w:szCs w:val="20"/>
        </w:rPr>
      </w:pPr>
      <w:r>
        <w:rPr>
          <w:rFonts w:ascii="Arial" w:hAnsi="Arial" w:cs="Arial"/>
          <w:sz w:val="20"/>
          <w:szCs w:val="20"/>
        </w:rPr>
        <w:t>However, above age 5 the ages are grouped:</w:t>
      </w:r>
    </w:p>
    <w:p w:rsidR="00D738D3" w:rsidRDefault="00D738D3" w:rsidP="00D738D3">
      <w:pPr>
        <w:rPr>
          <w:rFonts w:ascii="Arial" w:hAnsi="Arial" w:cs="Arial"/>
          <w:sz w:val="20"/>
          <w:szCs w:val="20"/>
        </w:rPr>
      </w:pP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a6</w:t>
      </w:r>
      <w:r>
        <w:rPr>
          <w:rFonts w:ascii="Arial" w:hAnsi="Arial" w:cs="Arial"/>
          <w:sz w:val="20"/>
          <w:szCs w:val="20"/>
        </w:rPr>
        <w:tab/>
      </w:r>
      <w:r>
        <w:rPr>
          <w:rFonts w:ascii="Arial" w:hAnsi="Arial" w:cs="Arial"/>
          <w:sz w:val="20"/>
          <w:szCs w:val="20"/>
        </w:rPr>
        <w:tab/>
        <w:t>=</w:t>
      </w:r>
      <w:r>
        <w:rPr>
          <w:rFonts w:ascii="Arial" w:hAnsi="Arial" w:cs="Arial"/>
          <w:sz w:val="20"/>
          <w:szCs w:val="20"/>
        </w:rPr>
        <w:tab/>
        <w:t>Hispanic females ages 6 to 9,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a10</w:t>
      </w:r>
      <w:r>
        <w:rPr>
          <w:rFonts w:ascii="Arial" w:hAnsi="Arial" w:cs="Arial"/>
          <w:sz w:val="20"/>
          <w:szCs w:val="20"/>
        </w:rPr>
        <w:tab/>
        <w:t>=</w:t>
      </w:r>
      <w:r>
        <w:rPr>
          <w:rFonts w:ascii="Arial" w:hAnsi="Arial" w:cs="Arial"/>
          <w:sz w:val="20"/>
          <w:szCs w:val="20"/>
        </w:rPr>
        <w:tab/>
        <w:t>Hispanic females ages 10 to 12,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a13</w:t>
      </w:r>
      <w:r>
        <w:rPr>
          <w:rFonts w:ascii="Arial" w:hAnsi="Arial" w:cs="Arial"/>
          <w:sz w:val="20"/>
          <w:szCs w:val="20"/>
        </w:rPr>
        <w:tab/>
        <w:t>=</w:t>
      </w:r>
      <w:r>
        <w:rPr>
          <w:rFonts w:ascii="Arial" w:hAnsi="Arial" w:cs="Arial"/>
          <w:sz w:val="20"/>
          <w:szCs w:val="20"/>
        </w:rPr>
        <w:tab/>
        <w:t>Hispanic females ages 13 to 17,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a18</w:t>
      </w:r>
      <w:r>
        <w:rPr>
          <w:rFonts w:ascii="Arial" w:hAnsi="Arial" w:cs="Arial"/>
          <w:sz w:val="20"/>
          <w:szCs w:val="20"/>
        </w:rPr>
        <w:tab/>
        <w:t>=</w:t>
      </w:r>
      <w:r>
        <w:rPr>
          <w:rFonts w:ascii="Arial" w:hAnsi="Arial" w:cs="Arial"/>
          <w:sz w:val="20"/>
          <w:szCs w:val="20"/>
        </w:rPr>
        <w:tab/>
        <w:t>Hispanic females ages 18 to 19, below 100% of poverty</w:t>
      </w:r>
    </w:p>
    <w:p w:rsidR="00D738D3" w:rsidRDefault="00D738D3" w:rsidP="00D738D3">
      <w:pPr>
        <w:ind w:left="720"/>
        <w:rPr>
          <w:rFonts w:ascii="Arial" w:hAnsi="Arial" w:cs="Arial"/>
          <w:sz w:val="20"/>
          <w:szCs w:val="20"/>
        </w:rPr>
      </w:pPr>
      <w:r>
        <w:rPr>
          <w:rFonts w:ascii="Arial" w:hAnsi="Arial" w:cs="Arial"/>
          <w:sz w:val="20"/>
          <w:szCs w:val="20"/>
        </w:rPr>
        <w:t>hf10</w:t>
      </w:r>
      <w:r>
        <w:rPr>
          <w:rFonts w:ascii="Arial" w:hAnsi="Arial" w:cs="Arial"/>
          <w:sz w:val="20"/>
          <w:szCs w:val="20"/>
        </w:rPr>
        <w:t>a20</w:t>
      </w:r>
      <w:r>
        <w:rPr>
          <w:rFonts w:ascii="Arial" w:hAnsi="Arial" w:cs="Arial"/>
          <w:sz w:val="20"/>
          <w:szCs w:val="20"/>
        </w:rPr>
        <w:tab/>
        <w:t>=</w:t>
      </w:r>
      <w:r>
        <w:rPr>
          <w:rFonts w:ascii="Arial" w:hAnsi="Arial" w:cs="Arial"/>
          <w:sz w:val="20"/>
          <w:szCs w:val="20"/>
        </w:rPr>
        <w:tab/>
        <w:t>Hispanic females ages 20 to 24, below 100% of poverty</w:t>
      </w:r>
    </w:p>
    <w:p w:rsidR="00D738D3" w:rsidRDefault="00D738D3" w:rsidP="00D738D3">
      <w:pPr>
        <w:ind w:firstLine="720"/>
        <w:rPr>
          <w:rFonts w:ascii="Arial" w:hAnsi="Arial" w:cs="Arial"/>
          <w:sz w:val="20"/>
          <w:szCs w:val="20"/>
        </w:rPr>
      </w:pPr>
    </w:p>
    <w:p w:rsidR="00D738D3" w:rsidRDefault="00D738D3" w:rsidP="00D738D3">
      <w:pPr>
        <w:rPr>
          <w:rFonts w:ascii="Arial" w:hAnsi="Arial" w:cs="Arial"/>
          <w:sz w:val="20"/>
          <w:szCs w:val="20"/>
        </w:rPr>
      </w:pPr>
      <w:r>
        <w:rPr>
          <w:rFonts w:ascii="Arial" w:hAnsi="Arial" w:cs="Arial"/>
          <w:sz w:val="20"/>
          <w:szCs w:val="20"/>
        </w:rPr>
        <w:t>And so on until</w:t>
      </w:r>
    </w:p>
    <w:p w:rsidR="00D738D3" w:rsidRDefault="00D738D3" w:rsidP="00D738D3">
      <w:pPr>
        <w:ind w:firstLine="720"/>
        <w:rPr>
          <w:rFonts w:ascii="Arial" w:hAnsi="Arial" w:cs="Arial"/>
          <w:sz w:val="20"/>
          <w:szCs w:val="20"/>
        </w:rPr>
      </w:pPr>
    </w:p>
    <w:p w:rsidR="00D738D3" w:rsidRDefault="00D738D3" w:rsidP="00D738D3">
      <w:pPr>
        <w:ind w:left="2160" w:hanging="1440"/>
        <w:rPr>
          <w:rFonts w:ascii="Arial" w:hAnsi="Arial" w:cs="Arial"/>
          <w:sz w:val="20"/>
          <w:szCs w:val="20"/>
        </w:rPr>
      </w:pPr>
      <w:r>
        <w:rPr>
          <w:rFonts w:ascii="Arial" w:hAnsi="Arial" w:cs="Arial"/>
          <w:sz w:val="20"/>
          <w:szCs w:val="20"/>
        </w:rPr>
        <w:t>hf10</w:t>
      </w:r>
      <w:r>
        <w:rPr>
          <w:rFonts w:ascii="Arial" w:hAnsi="Arial" w:cs="Arial"/>
          <w:sz w:val="20"/>
          <w:szCs w:val="20"/>
        </w:rPr>
        <w:t xml:space="preserve">a100 </w:t>
      </w:r>
      <w:r>
        <w:rPr>
          <w:rFonts w:ascii="Arial" w:hAnsi="Arial" w:cs="Arial"/>
          <w:sz w:val="20"/>
          <w:szCs w:val="20"/>
        </w:rPr>
        <w:tab/>
        <w:t xml:space="preserve">= </w:t>
      </w:r>
      <w:r>
        <w:rPr>
          <w:rFonts w:ascii="Arial" w:hAnsi="Arial" w:cs="Arial"/>
          <w:sz w:val="20"/>
          <w:szCs w:val="20"/>
        </w:rPr>
        <w:tab/>
        <w:t>Hispanic females ages 100 and older, below 100% of poverty</w:t>
      </w:r>
    </w:p>
    <w:p w:rsidR="00D42C65" w:rsidRDefault="00D42C65" w:rsidP="00D42C65">
      <w:pPr>
        <w:pStyle w:val="Header"/>
        <w:rPr>
          <w:rFonts w:ascii="Arial" w:hAnsi="Arial" w:cs="Arial"/>
          <w:b/>
          <w:sz w:val="20"/>
          <w:szCs w:val="20"/>
        </w:rPr>
      </w:pPr>
    </w:p>
    <w:p w:rsidR="00D738D3" w:rsidRDefault="00D738D3">
      <w:pPr>
        <w:rPr>
          <w:rFonts w:ascii="Arial" w:hAnsi="Arial" w:cs="Arial"/>
          <w:b/>
          <w:sz w:val="20"/>
          <w:szCs w:val="20"/>
        </w:rPr>
      </w:pPr>
      <w:r>
        <w:rPr>
          <w:rFonts w:ascii="Arial" w:hAnsi="Arial" w:cs="Arial"/>
          <w:b/>
          <w:sz w:val="20"/>
          <w:szCs w:val="20"/>
        </w:rPr>
        <w:br w:type="page"/>
      </w:r>
    </w:p>
    <w:p w:rsidR="00D42C65" w:rsidRDefault="00761FBC" w:rsidP="00D42C65">
      <w:pPr>
        <w:pStyle w:val="Header"/>
        <w:numPr>
          <w:ilvl w:val="0"/>
          <w:numId w:val="3"/>
        </w:numPr>
        <w:rPr>
          <w:rFonts w:ascii="Arial" w:hAnsi="Arial" w:cs="Arial"/>
          <w:b/>
          <w:sz w:val="20"/>
          <w:szCs w:val="20"/>
        </w:rPr>
      </w:pPr>
      <w:bookmarkStart w:id="0" w:name="_GoBack"/>
      <w:bookmarkEnd w:id="0"/>
      <w:r>
        <w:rPr>
          <w:rFonts w:ascii="Arial" w:hAnsi="Arial" w:cs="Arial"/>
          <w:b/>
          <w:sz w:val="20"/>
          <w:szCs w:val="20"/>
        </w:rPr>
        <w:t xml:space="preserve">List of </w:t>
      </w:r>
      <w:r w:rsidR="00D42C65">
        <w:rPr>
          <w:rFonts w:ascii="Arial" w:hAnsi="Arial" w:cs="Arial"/>
          <w:b/>
          <w:sz w:val="20"/>
          <w:szCs w:val="20"/>
        </w:rPr>
        <w:t>References</w:t>
      </w:r>
    </w:p>
    <w:p w:rsidR="00D42C65" w:rsidRDefault="00D42C65" w:rsidP="00D42C65"/>
    <w:p w:rsidR="00D42C65" w:rsidRDefault="00D42C65" w:rsidP="00D42C65">
      <w:pPr>
        <w:ind w:left="1440" w:hanging="720"/>
        <w:rPr>
          <w:rFonts w:ascii="Arial" w:hAnsi="Arial" w:cs="Arial"/>
          <w:sz w:val="20"/>
          <w:szCs w:val="20"/>
        </w:rPr>
      </w:pPr>
      <w:proofErr w:type="spellStart"/>
      <w:r w:rsidRPr="007D6B26">
        <w:rPr>
          <w:rFonts w:ascii="Arial" w:hAnsi="Arial" w:cs="Arial"/>
          <w:sz w:val="20"/>
          <w:szCs w:val="20"/>
        </w:rPr>
        <w:t>Bishaw</w:t>
      </w:r>
      <w:proofErr w:type="spellEnd"/>
      <w:r w:rsidRPr="007D6B26">
        <w:rPr>
          <w:rFonts w:ascii="Arial" w:hAnsi="Arial" w:cs="Arial"/>
          <w:sz w:val="20"/>
          <w:szCs w:val="20"/>
        </w:rPr>
        <w:t xml:space="preserve">, </w:t>
      </w:r>
      <w:proofErr w:type="spellStart"/>
      <w:r w:rsidRPr="007D6B26">
        <w:rPr>
          <w:rFonts w:ascii="Arial" w:hAnsi="Arial" w:cs="Arial"/>
          <w:sz w:val="20"/>
          <w:szCs w:val="20"/>
        </w:rPr>
        <w:t>Alemayehu</w:t>
      </w:r>
      <w:proofErr w:type="spellEnd"/>
      <w:r w:rsidRPr="007D6B26">
        <w:rPr>
          <w:rFonts w:ascii="Arial" w:hAnsi="Arial" w:cs="Arial"/>
          <w:sz w:val="20"/>
          <w:szCs w:val="20"/>
        </w:rPr>
        <w:t xml:space="preserve"> and </w:t>
      </w:r>
      <w:proofErr w:type="spellStart"/>
      <w:r w:rsidRPr="007D6B26">
        <w:rPr>
          <w:rFonts w:ascii="Arial" w:hAnsi="Arial" w:cs="Arial"/>
          <w:sz w:val="20"/>
          <w:szCs w:val="20"/>
        </w:rPr>
        <w:t>Trudi</w:t>
      </w:r>
      <w:proofErr w:type="spellEnd"/>
      <w:r w:rsidRPr="007D6B26">
        <w:rPr>
          <w:rFonts w:ascii="Arial" w:hAnsi="Arial" w:cs="Arial"/>
          <w:sz w:val="20"/>
          <w:szCs w:val="20"/>
        </w:rPr>
        <w:t xml:space="preserve"> J. Renwick. U.S. Census Bureau, Amer. Community Survey Reports, ACSBR/08-1, </w:t>
      </w:r>
      <w:r w:rsidRPr="007D6B26">
        <w:rPr>
          <w:rFonts w:ascii="Arial" w:hAnsi="Arial" w:cs="Arial"/>
          <w:i/>
          <w:iCs/>
          <w:sz w:val="20"/>
          <w:szCs w:val="20"/>
        </w:rPr>
        <w:t>Poverty: 2007 and 2008 Amer. Community Surveys</w:t>
      </w:r>
      <w:r w:rsidRPr="007D6B26">
        <w:rPr>
          <w:rFonts w:ascii="Arial" w:hAnsi="Arial" w:cs="Arial"/>
          <w:sz w:val="20"/>
          <w:szCs w:val="20"/>
        </w:rPr>
        <w:t>, 2009.</w:t>
      </w:r>
    </w:p>
    <w:p w:rsidR="00D42C65" w:rsidRDefault="00D42C65" w:rsidP="00D42C65">
      <w:pPr>
        <w:ind w:left="1440" w:hanging="720"/>
        <w:rPr>
          <w:rFonts w:ascii="Arial" w:hAnsi="Arial" w:cs="Arial"/>
          <w:sz w:val="20"/>
          <w:szCs w:val="20"/>
        </w:rPr>
      </w:pPr>
    </w:p>
    <w:p w:rsidR="00D42C65" w:rsidRDefault="00D42C65" w:rsidP="00D42C65">
      <w:pPr>
        <w:ind w:left="1440" w:hanging="720"/>
        <w:rPr>
          <w:rFonts w:ascii="Arial" w:hAnsi="Arial" w:cs="Arial"/>
          <w:bCs/>
          <w:sz w:val="20"/>
          <w:szCs w:val="20"/>
        </w:rPr>
      </w:pPr>
      <w:r w:rsidRPr="00940B4B">
        <w:rPr>
          <w:rFonts w:ascii="Arial" w:hAnsi="Arial" w:cs="Arial"/>
          <w:sz w:val="20"/>
          <w:szCs w:val="20"/>
        </w:rPr>
        <w:t xml:space="preserve"> </w:t>
      </w:r>
      <w:r w:rsidRPr="00940B4B">
        <w:rPr>
          <w:rFonts w:ascii="Arial" w:hAnsi="Arial" w:cs="Arial"/>
          <w:bCs/>
          <w:sz w:val="20"/>
          <w:szCs w:val="20"/>
        </w:rPr>
        <w:t>California, Department of Finance, Demographic Research Unit, California and its Counties Population by Age, Race/Hispanics, and Gender:  2000–2010</w:t>
      </w:r>
      <w:r>
        <w:rPr>
          <w:rFonts w:ascii="Arial" w:hAnsi="Arial" w:cs="Arial"/>
          <w:bCs/>
          <w:sz w:val="20"/>
          <w:szCs w:val="20"/>
        </w:rPr>
        <w:t xml:space="preserve">, </w:t>
      </w:r>
      <w:r w:rsidRPr="00940B4B">
        <w:rPr>
          <w:color w:val="0000FF"/>
          <w:u w:val="single"/>
        </w:rPr>
        <w:t>http://www.dof.ca.gov/research/demographic/data/race-ethnic/2000-2010/index.php</w:t>
      </w:r>
      <w:r w:rsidRPr="00940B4B">
        <w:rPr>
          <w:rFonts w:ascii="Arial" w:hAnsi="Arial" w:cs="Arial"/>
          <w:bCs/>
          <w:sz w:val="20"/>
          <w:szCs w:val="20"/>
        </w:rPr>
        <w:t>,</w:t>
      </w:r>
      <w:r>
        <w:rPr>
          <w:rFonts w:ascii="Arial" w:hAnsi="Arial" w:cs="Arial"/>
          <w:bCs/>
          <w:sz w:val="20"/>
          <w:szCs w:val="20"/>
        </w:rPr>
        <w:t xml:space="preserve"> downloaded September 15, 2012.</w:t>
      </w:r>
    </w:p>
    <w:p w:rsidR="00D42C65" w:rsidRPr="00940B4B" w:rsidRDefault="00D42C65" w:rsidP="00D42C65">
      <w:pPr>
        <w:tabs>
          <w:tab w:val="left" w:pos="5220"/>
        </w:tabs>
        <w:ind w:left="1440" w:hanging="720"/>
        <w:rPr>
          <w:rFonts w:ascii="Arial" w:hAnsi="Arial" w:cs="Arial"/>
          <w:bCs/>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proofErr w:type="spellStart"/>
      <w:r w:rsidRPr="007D6B26">
        <w:rPr>
          <w:rFonts w:ascii="Arial" w:hAnsi="Arial" w:cs="Arial"/>
          <w:sz w:val="20"/>
          <w:szCs w:val="20"/>
        </w:rPr>
        <w:t>DeNavas</w:t>
      </w:r>
      <w:proofErr w:type="spellEnd"/>
      <w:r w:rsidRPr="007D6B26">
        <w:rPr>
          <w:rFonts w:ascii="Arial" w:hAnsi="Arial" w:cs="Arial"/>
          <w:sz w:val="20"/>
          <w:szCs w:val="20"/>
        </w:rPr>
        <w:t xml:space="preserve">-Walt, Carmen, Bernadette D. Proctor, and Jessica C. Smith, U.S. Census Bureau , Current Population Reports, P60-236, </w:t>
      </w:r>
      <w:r w:rsidRPr="007D6B26">
        <w:rPr>
          <w:rStyle w:val="Emphasis"/>
          <w:rFonts w:ascii="Arial" w:hAnsi="Arial" w:cs="Arial"/>
          <w:color w:val="000000"/>
          <w:sz w:val="20"/>
          <w:szCs w:val="20"/>
        </w:rPr>
        <w:t>Income, Poverty, and Health Insurance Coverage in the United States: 2008</w:t>
      </w:r>
      <w:r w:rsidRPr="007D6B26">
        <w:rPr>
          <w:rStyle w:val="Emphasis"/>
          <w:rFonts w:ascii="Arial" w:hAnsi="Arial" w:cs="Arial"/>
          <w:i w:val="0"/>
          <w:iCs w:val="0"/>
          <w:color w:val="000000"/>
          <w:sz w:val="20"/>
          <w:szCs w:val="20"/>
        </w:rPr>
        <w:t>, U.S. Government Printing Office, Washington, DC, 2009.</w:t>
      </w:r>
    </w:p>
    <w:p w:rsidR="00D42C65" w:rsidRPr="007D6B26" w:rsidRDefault="00D42C65" w:rsidP="00D42C65">
      <w:pPr>
        <w:ind w:left="1440" w:hanging="720"/>
        <w:rPr>
          <w:rStyle w:val="Emphasis"/>
          <w:rFonts w:ascii="Arial" w:hAnsi="Arial" w:cs="Arial"/>
          <w:i w:val="0"/>
          <w:iCs w:val="0"/>
          <w:color w:val="000000"/>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r w:rsidRPr="007D6B26">
        <w:rPr>
          <w:rStyle w:val="Emphasis"/>
          <w:rFonts w:ascii="Arial" w:hAnsi="Arial" w:cs="Arial"/>
          <w:i w:val="0"/>
          <w:iCs w:val="0"/>
          <w:color w:val="000000"/>
          <w:sz w:val="20"/>
          <w:szCs w:val="20"/>
        </w:rPr>
        <w:t xml:space="preserve">Meyers, Dowell. </w:t>
      </w:r>
      <w:r w:rsidRPr="007D6B26">
        <w:rPr>
          <w:rStyle w:val="Emphasis"/>
          <w:rFonts w:ascii="Arial" w:hAnsi="Arial" w:cs="Arial"/>
          <w:iCs w:val="0"/>
          <w:color w:val="000000"/>
          <w:sz w:val="20"/>
          <w:szCs w:val="20"/>
        </w:rPr>
        <w:t>Analysis with Local Census Data: Portraits of Change</w:t>
      </w:r>
      <w:r w:rsidRPr="007D6B26">
        <w:rPr>
          <w:rStyle w:val="Emphasis"/>
          <w:rFonts w:ascii="Arial" w:hAnsi="Arial" w:cs="Arial"/>
          <w:i w:val="0"/>
          <w:iCs w:val="0"/>
          <w:color w:val="000000"/>
          <w:sz w:val="20"/>
          <w:szCs w:val="20"/>
        </w:rPr>
        <w:t>, Academic Press, Inc., San Diego CA, 1991.</w:t>
      </w:r>
    </w:p>
    <w:p w:rsidR="00D42C65" w:rsidRPr="007D6B26" w:rsidRDefault="00D42C65" w:rsidP="00D42C65">
      <w:pPr>
        <w:ind w:left="1440" w:hanging="720"/>
        <w:rPr>
          <w:rStyle w:val="Emphasis"/>
          <w:rFonts w:ascii="Arial" w:hAnsi="Arial" w:cs="Arial"/>
          <w:i w:val="0"/>
          <w:iCs w:val="0"/>
          <w:color w:val="000000"/>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r w:rsidRPr="007D6B26">
        <w:rPr>
          <w:rStyle w:val="Emphasis"/>
          <w:rFonts w:ascii="Arial" w:hAnsi="Arial" w:cs="Arial"/>
          <w:i w:val="0"/>
          <w:iCs w:val="0"/>
          <w:color w:val="000000"/>
          <w:sz w:val="20"/>
          <w:szCs w:val="20"/>
        </w:rPr>
        <w:t xml:space="preserve">Smith, Stanley K., Jeff </w:t>
      </w:r>
      <w:proofErr w:type="spellStart"/>
      <w:r w:rsidRPr="007D6B26">
        <w:rPr>
          <w:rStyle w:val="Emphasis"/>
          <w:rFonts w:ascii="Arial" w:hAnsi="Arial" w:cs="Arial"/>
          <w:i w:val="0"/>
          <w:iCs w:val="0"/>
          <w:color w:val="000000"/>
          <w:sz w:val="20"/>
          <w:szCs w:val="20"/>
        </w:rPr>
        <w:t>Tayman</w:t>
      </w:r>
      <w:proofErr w:type="spellEnd"/>
      <w:r w:rsidRPr="007D6B26">
        <w:rPr>
          <w:rStyle w:val="Emphasis"/>
          <w:rFonts w:ascii="Arial" w:hAnsi="Arial" w:cs="Arial"/>
          <w:i w:val="0"/>
          <w:iCs w:val="0"/>
          <w:color w:val="000000"/>
          <w:sz w:val="20"/>
          <w:szCs w:val="20"/>
        </w:rPr>
        <w:t xml:space="preserve">, and David A. Swanson. </w:t>
      </w:r>
      <w:r w:rsidRPr="007D6B26">
        <w:rPr>
          <w:rStyle w:val="Emphasis"/>
          <w:rFonts w:ascii="Arial" w:hAnsi="Arial" w:cs="Arial"/>
          <w:iCs w:val="0"/>
          <w:color w:val="000000"/>
          <w:sz w:val="20"/>
          <w:szCs w:val="20"/>
        </w:rPr>
        <w:t>State and Local Population Projections: Methodology and Analysis</w:t>
      </w:r>
      <w:r w:rsidRPr="007D6B26">
        <w:rPr>
          <w:rStyle w:val="Emphasis"/>
          <w:rFonts w:ascii="Arial" w:hAnsi="Arial" w:cs="Arial"/>
          <w:i w:val="0"/>
          <w:iCs w:val="0"/>
          <w:color w:val="000000"/>
          <w:sz w:val="20"/>
          <w:szCs w:val="20"/>
        </w:rPr>
        <w:t>, Kluwer Academic/Plenum Publishers, New York, 2001.</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proofErr w:type="spellStart"/>
      <w:r w:rsidRPr="007D6B26">
        <w:rPr>
          <w:rFonts w:ascii="Arial" w:hAnsi="Arial" w:cs="Arial"/>
          <w:sz w:val="20"/>
          <w:szCs w:val="20"/>
        </w:rPr>
        <w:t>Schmeiser</w:t>
      </w:r>
      <w:proofErr w:type="spellEnd"/>
      <w:r w:rsidRPr="007D6B26">
        <w:rPr>
          <w:rFonts w:ascii="Arial" w:hAnsi="Arial" w:cs="Arial"/>
          <w:sz w:val="20"/>
          <w:szCs w:val="20"/>
        </w:rPr>
        <w:t xml:space="preserve">, Maximilian, Robert Weathers, and Richard V. </w:t>
      </w:r>
      <w:proofErr w:type="spellStart"/>
      <w:r w:rsidRPr="007D6B26">
        <w:rPr>
          <w:rFonts w:ascii="Arial" w:hAnsi="Arial" w:cs="Arial"/>
          <w:sz w:val="20"/>
          <w:szCs w:val="20"/>
        </w:rPr>
        <w:t>Burkhauser</w:t>
      </w:r>
      <w:proofErr w:type="spellEnd"/>
      <w:r w:rsidRPr="007D6B26">
        <w:rPr>
          <w:rFonts w:ascii="Arial" w:hAnsi="Arial" w:cs="Arial"/>
          <w:sz w:val="20"/>
          <w:szCs w:val="20"/>
        </w:rPr>
        <w:t xml:space="preserve">. </w:t>
      </w:r>
      <w:r w:rsidRPr="007D6B26">
        <w:rPr>
          <w:rFonts w:ascii="Arial" w:hAnsi="Arial" w:cs="Arial"/>
          <w:i/>
          <w:sz w:val="20"/>
          <w:szCs w:val="20"/>
        </w:rPr>
        <w:t xml:space="preserve">Why Child Poverty Estimates Differ Using the Amer. Community Survey and the Current Population Survey. </w:t>
      </w:r>
      <w:r w:rsidRPr="007D6B26">
        <w:rPr>
          <w:rFonts w:ascii="Arial" w:hAnsi="Arial" w:cs="Arial"/>
          <w:sz w:val="20"/>
          <w:szCs w:val="20"/>
        </w:rPr>
        <w:t xml:space="preserve">Presented at the Annual ACS/OPRE Welfare Research &amp; Evaluation Conference, Administration for Children &amp; Families: Office of Planning, Research, &amp; Evaluation, 2006. </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proofErr w:type="spellStart"/>
      <w:r w:rsidRPr="007D6B26">
        <w:rPr>
          <w:rFonts w:ascii="Arial" w:hAnsi="Arial" w:cs="Arial"/>
          <w:sz w:val="20"/>
          <w:szCs w:val="20"/>
        </w:rPr>
        <w:t>Turek</w:t>
      </w:r>
      <w:proofErr w:type="spellEnd"/>
      <w:r w:rsidRPr="007D6B26">
        <w:rPr>
          <w:rFonts w:ascii="Arial" w:hAnsi="Arial" w:cs="Arial"/>
          <w:sz w:val="20"/>
          <w:szCs w:val="20"/>
        </w:rPr>
        <w:t xml:space="preserve">, Joan, Gabrielle </w:t>
      </w:r>
      <w:proofErr w:type="spellStart"/>
      <w:r w:rsidRPr="007D6B26">
        <w:rPr>
          <w:rFonts w:ascii="Arial" w:hAnsi="Arial" w:cs="Arial"/>
          <w:sz w:val="20"/>
          <w:szCs w:val="20"/>
        </w:rPr>
        <w:t>Denmead</w:t>
      </w:r>
      <w:proofErr w:type="spellEnd"/>
      <w:r w:rsidRPr="007D6B26">
        <w:rPr>
          <w:rFonts w:ascii="Arial" w:hAnsi="Arial" w:cs="Arial"/>
          <w:sz w:val="20"/>
          <w:szCs w:val="20"/>
        </w:rPr>
        <w:t xml:space="preserve">, and Brian Sinclair-James. </w:t>
      </w:r>
      <w:r w:rsidRPr="007D6B26">
        <w:rPr>
          <w:rFonts w:ascii="Arial" w:hAnsi="Arial" w:cs="Arial"/>
          <w:i/>
          <w:sz w:val="20"/>
          <w:szCs w:val="20"/>
        </w:rPr>
        <w:t>Poverty Estimates in the ACS and Other Income Surveys: What is the Impact of Methodology</w:t>
      </w:r>
      <w:r w:rsidRPr="007D6B26">
        <w:rPr>
          <w:rFonts w:ascii="Arial" w:hAnsi="Arial" w:cs="Arial"/>
          <w:sz w:val="20"/>
          <w:szCs w:val="20"/>
        </w:rPr>
        <w:t xml:space="preserve">? U.S. Department of Health and Human Services, September 2005.  </w:t>
      </w:r>
      <w:hyperlink r:id="rId17" w:history="1">
        <w:r w:rsidRPr="007D6B26">
          <w:rPr>
            <w:rStyle w:val="Hyperlink"/>
            <w:rFonts w:ascii="Arial" w:eastAsiaTheme="majorEastAsia" w:hAnsi="Arial" w:cs="Arial"/>
            <w:sz w:val="20"/>
            <w:szCs w:val="20"/>
          </w:rPr>
          <w:t>http://aspe.hhs.gov/sp/poverty/poverty.pdf</w:t>
        </w:r>
      </w:hyperlink>
      <w:r w:rsidRPr="007D6B26">
        <w:rPr>
          <w:rStyle w:val="Hyperlink"/>
          <w:rFonts w:ascii="Arial" w:eastAsiaTheme="majorEastAsia" w:hAnsi="Arial" w:cs="Arial"/>
          <w:sz w:val="20"/>
          <w:szCs w:val="20"/>
        </w:rPr>
        <w:t xml:space="preserve">, </w:t>
      </w:r>
      <w:r w:rsidRPr="007D6B26">
        <w:rPr>
          <w:rFonts w:ascii="Arial" w:hAnsi="Arial" w:cs="Arial"/>
          <w:sz w:val="20"/>
          <w:szCs w:val="20"/>
        </w:rPr>
        <w:t xml:space="preserve">  downloaded 3/1/2011.</w:t>
      </w:r>
    </w:p>
    <w:p w:rsidR="00D42C65" w:rsidRPr="00AA6E6D" w:rsidRDefault="00D42C65" w:rsidP="00D42C65">
      <w:pPr>
        <w:ind w:left="1440" w:hanging="720"/>
        <w:rPr>
          <w:rFonts w:ascii="Arial" w:hAnsi="Arial" w:cs="Arial"/>
          <w:sz w:val="20"/>
          <w:szCs w:val="20"/>
        </w:rPr>
      </w:pPr>
    </w:p>
    <w:p w:rsidR="00D42C65" w:rsidRDefault="00D42C65" w:rsidP="00D42C65">
      <w:pPr>
        <w:ind w:left="1440" w:hanging="720"/>
        <w:rPr>
          <w:rFonts w:ascii="Arial" w:hAnsi="Arial" w:cs="Arial"/>
          <w:sz w:val="20"/>
          <w:szCs w:val="20"/>
        </w:rPr>
      </w:pPr>
      <w:r w:rsidRPr="00AA6E6D">
        <w:rPr>
          <w:rFonts w:ascii="Arial" w:hAnsi="Arial" w:cs="Arial"/>
          <w:sz w:val="20"/>
          <w:szCs w:val="20"/>
        </w:rPr>
        <w:t xml:space="preserve">U.S. Census Bureau. “Description of Income and Poverty Data Sources.” </w:t>
      </w:r>
      <w:hyperlink r:id="rId18" w:history="1">
        <w:r w:rsidRPr="00AA6E6D">
          <w:rPr>
            <w:color w:val="0000FF"/>
            <w:u w:val="single"/>
          </w:rPr>
          <w:t>http://www.census.gov/hhes/www/poverty/about/datasources/description.html</w:t>
        </w:r>
      </w:hyperlink>
      <w:r>
        <w:rPr>
          <w:rFonts w:ascii="Arial" w:hAnsi="Arial" w:cs="Arial"/>
          <w:sz w:val="20"/>
          <w:szCs w:val="20"/>
        </w:rPr>
        <w:t xml:space="preserve"> Download October 13, 2012</w:t>
      </w:r>
      <w:r w:rsidRPr="00AA6E6D">
        <w:rPr>
          <w:rFonts w:ascii="Arial" w:hAnsi="Arial" w:cs="Arial"/>
          <w:sz w:val="20"/>
          <w:szCs w:val="20"/>
        </w:rPr>
        <w:t xml:space="preserve">. </w:t>
      </w:r>
    </w:p>
    <w:p w:rsidR="00D42C65" w:rsidRDefault="00D42C65" w:rsidP="00D42C65">
      <w:pPr>
        <w:ind w:left="1440" w:hanging="720"/>
        <w:rPr>
          <w:rFonts w:ascii="Arial" w:hAnsi="Arial" w:cs="Arial"/>
          <w:sz w:val="20"/>
          <w:szCs w:val="20"/>
        </w:rPr>
      </w:pPr>
    </w:p>
    <w:p w:rsidR="00D42C65" w:rsidRPr="00AA6E6D" w:rsidRDefault="00D42C65" w:rsidP="00D42C65">
      <w:pPr>
        <w:ind w:left="1440" w:hanging="720"/>
        <w:rPr>
          <w:rFonts w:ascii="Arial" w:hAnsi="Arial" w:cs="Arial"/>
          <w:sz w:val="20"/>
          <w:szCs w:val="20"/>
        </w:rPr>
      </w:pPr>
      <w:r>
        <w:rPr>
          <w:rFonts w:ascii="Arial" w:hAnsi="Arial" w:cs="Arial"/>
          <w:sz w:val="20"/>
          <w:szCs w:val="20"/>
        </w:rPr>
        <w:t>U.</w:t>
      </w:r>
      <w:r w:rsidRPr="00AA6E6D">
        <w:rPr>
          <w:rFonts w:ascii="Arial" w:hAnsi="Arial" w:cs="Arial"/>
          <w:sz w:val="20"/>
          <w:szCs w:val="20"/>
        </w:rPr>
        <w:t>S. Census Bureau. “</w:t>
      </w:r>
      <w:r>
        <w:rPr>
          <w:rFonts w:ascii="Arial" w:hAnsi="Arial" w:cs="Arial"/>
          <w:sz w:val="20"/>
          <w:szCs w:val="20"/>
        </w:rPr>
        <w:t xml:space="preserve">American Community Survey: Guidance for Data Users Main” </w:t>
      </w:r>
      <w:hyperlink r:id="rId19" w:history="1">
        <w:r w:rsidRPr="00AA6E6D">
          <w:rPr>
            <w:color w:val="0000FF"/>
            <w:u w:val="single"/>
          </w:rPr>
          <w:t>http://www.census.gov/acs/www/guidance_for_data_users/guidance_main/</w:t>
        </w:r>
      </w:hyperlink>
      <w:r>
        <w:rPr>
          <w:rFonts w:ascii="Arial" w:hAnsi="Arial" w:cs="Arial"/>
          <w:sz w:val="20"/>
          <w:szCs w:val="20"/>
        </w:rPr>
        <w:t xml:space="preserve"> Download October 13, 2012</w:t>
      </w:r>
      <w:r w:rsidRPr="00AA6E6D">
        <w:rPr>
          <w:rFonts w:ascii="Arial" w:hAnsi="Arial" w:cs="Arial"/>
          <w:sz w:val="20"/>
          <w:szCs w:val="20"/>
        </w:rPr>
        <w:t>.</w:t>
      </w:r>
    </w:p>
    <w:p w:rsidR="00D42C65"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U.S. Census </w:t>
      </w:r>
      <w:proofErr w:type="gramStart"/>
      <w:r w:rsidRPr="007D6B26">
        <w:rPr>
          <w:rFonts w:ascii="Arial" w:hAnsi="Arial" w:cs="Arial"/>
          <w:sz w:val="20"/>
          <w:szCs w:val="20"/>
        </w:rPr>
        <w:t>Bureau ,</w:t>
      </w:r>
      <w:proofErr w:type="gramEnd"/>
      <w:r w:rsidRPr="007D6B26">
        <w:rPr>
          <w:rFonts w:ascii="Arial" w:hAnsi="Arial" w:cs="Arial"/>
          <w:sz w:val="20"/>
          <w:szCs w:val="20"/>
        </w:rPr>
        <w:t xml:space="preserve"> Modified Race Summary File Methodology, </w:t>
      </w:r>
      <w:hyperlink r:id="rId20" w:history="1">
        <w:r w:rsidRPr="007D6B26">
          <w:rPr>
            <w:rStyle w:val="Hyperlink"/>
            <w:rFonts w:ascii="Arial" w:eastAsiaTheme="majorEastAsia" w:hAnsi="Arial" w:cs="Arial"/>
            <w:sz w:val="20"/>
            <w:szCs w:val="20"/>
          </w:rPr>
          <w:t>http://www.census.gov/popest/data/historical/files/MRSF-01-US1.pdf</w:t>
        </w:r>
      </w:hyperlink>
      <w:r w:rsidRPr="007D6B26">
        <w:rPr>
          <w:rStyle w:val="Hyperlink"/>
          <w:rFonts w:ascii="Arial" w:eastAsiaTheme="majorEastAsia" w:hAnsi="Arial" w:cs="Arial"/>
          <w:sz w:val="20"/>
          <w:szCs w:val="20"/>
        </w:rPr>
        <w:t>,</w:t>
      </w:r>
      <w:r w:rsidRPr="007D6B26">
        <w:rPr>
          <w:rFonts w:ascii="Arial" w:hAnsi="Arial" w:cs="Arial"/>
          <w:sz w:val="20"/>
          <w:szCs w:val="20"/>
        </w:rPr>
        <w:t xml:space="preserve"> download 8/30/2012.</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 </w:t>
      </w:r>
      <w:r w:rsidRPr="007D6B26">
        <w:rPr>
          <w:rStyle w:val="Emphasis"/>
          <w:rFonts w:ascii="Arial" w:hAnsi="Arial" w:cs="Arial"/>
          <w:i w:val="0"/>
          <w:iCs w:val="0"/>
          <w:color w:val="000000"/>
          <w:sz w:val="20"/>
          <w:szCs w:val="20"/>
        </w:rPr>
        <w:t xml:space="preserve">U.S. Census Bureau, </w:t>
      </w:r>
      <w:r w:rsidRPr="007D6B26">
        <w:rPr>
          <w:rFonts w:ascii="Arial" w:hAnsi="Arial" w:cs="Arial"/>
          <w:bCs/>
          <w:sz w:val="20"/>
          <w:szCs w:val="20"/>
        </w:rPr>
        <w:t>Methodology for the United States Resident Population Estimates by Age, Sex, Race, and Hispanic Origin and the State and County Total Resident Population Estimates (Vintage 2011): April 1, 2010 to July 1, 2011</w:t>
      </w:r>
      <w:r w:rsidRPr="007D6B26">
        <w:rPr>
          <w:rFonts w:ascii="Arial" w:hAnsi="Arial" w:cs="Arial"/>
          <w:b/>
          <w:bCs/>
          <w:sz w:val="20"/>
          <w:szCs w:val="20"/>
        </w:rPr>
        <w:t xml:space="preserve"> </w:t>
      </w:r>
      <w:hyperlink r:id="rId21" w:history="1">
        <w:r w:rsidRPr="007D6B26">
          <w:rPr>
            <w:rFonts w:ascii="Arial" w:hAnsi="Arial" w:cs="Arial"/>
            <w:color w:val="0000FF"/>
            <w:sz w:val="20"/>
            <w:szCs w:val="20"/>
            <w:u w:val="single"/>
          </w:rPr>
          <w:t>http://www.census.gov/popest/methodology/2011-nat-st-co-meth.pdf</w:t>
        </w:r>
      </w:hyperlink>
      <w:r w:rsidRPr="007D6B26">
        <w:rPr>
          <w:rFonts w:ascii="Arial" w:hAnsi="Arial" w:cs="Arial"/>
          <w:sz w:val="20"/>
          <w:szCs w:val="20"/>
        </w:rPr>
        <w:t>, download 8/30/2012.</w:t>
      </w:r>
    </w:p>
    <w:p w:rsidR="00D42C65" w:rsidRPr="007D6B26" w:rsidRDefault="00D42C65" w:rsidP="00D42C65">
      <w:pPr>
        <w:ind w:left="1440" w:hanging="720"/>
        <w:rPr>
          <w:rStyle w:val="Emphasis"/>
          <w:rFonts w:ascii="Arial" w:hAnsi="Arial" w:cs="Arial"/>
          <w:i w:val="0"/>
          <w:iCs w:val="0"/>
          <w:color w:val="000000"/>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r w:rsidRPr="007D6B26">
        <w:rPr>
          <w:rStyle w:val="Emphasis"/>
          <w:rFonts w:ascii="Arial" w:hAnsi="Arial" w:cs="Arial"/>
          <w:i w:val="0"/>
          <w:iCs w:val="0"/>
          <w:color w:val="000000"/>
          <w:sz w:val="20"/>
          <w:szCs w:val="20"/>
        </w:rPr>
        <w:t xml:space="preserve">U.S. Census Bureau, Methodology for the State and County Resident Population Estimates by Age, Sex, Race, and Hispanic Origin (Vintage 2011): April 1, 2010 to July 1, 2011, </w:t>
      </w:r>
      <w:hyperlink r:id="rId22" w:history="1">
        <w:r w:rsidRPr="007D6B26">
          <w:rPr>
            <w:rFonts w:ascii="Arial" w:hAnsi="Arial" w:cs="Arial"/>
            <w:color w:val="0000FF"/>
            <w:sz w:val="20"/>
            <w:szCs w:val="20"/>
            <w:u w:val="single"/>
          </w:rPr>
          <w:t>http://www.census.gov/popest/methodology/2011-stco-char-meth.pdf</w:t>
        </w:r>
      </w:hyperlink>
      <w:r w:rsidRPr="007D6B26">
        <w:rPr>
          <w:rFonts w:ascii="Arial" w:hAnsi="Arial" w:cs="Arial"/>
          <w:sz w:val="20"/>
          <w:szCs w:val="20"/>
        </w:rPr>
        <w:t>, download 8/30/2012.</w:t>
      </w:r>
    </w:p>
    <w:p w:rsidR="00D42C65" w:rsidRPr="007D6B26" w:rsidRDefault="00D42C65" w:rsidP="00D42C65">
      <w:pPr>
        <w:ind w:left="1440" w:hanging="720"/>
        <w:rPr>
          <w:rStyle w:val="Emphasis"/>
          <w:rFonts w:ascii="Arial" w:hAnsi="Arial" w:cs="Arial"/>
          <w:i w:val="0"/>
          <w:iCs w:val="0"/>
          <w:color w:val="000000"/>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r w:rsidRPr="007D6B26">
        <w:rPr>
          <w:rStyle w:val="Emphasis"/>
          <w:rFonts w:ascii="Arial" w:hAnsi="Arial" w:cs="Arial"/>
          <w:i w:val="0"/>
          <w:iCs w:val="0"/>
          <w:color w:val="000000"/>
          <w:sz w:val="20"/>
          <w:szCs w:val="20"/>
        </w:rPr>
        <w:t xml:space="preserve">U.S. Census Bureau, </w:t>
      </w:r>
      <w:r w:rsidRPr="007D6B26">
        <w:rPr>
          <w:rStyle w:val="Emphasis"/>
          <w:rFonts w:ascii="Arial" w:hAnsi="Arial" w:cs="Arial"/>
          <w:color w:val="000000"/>
          <w:sz w:val="20"/>
          <w:szCs w:val="20"/>
        </w:rPr>
        <w:t>Design and Methodology: Amer</w:t>
      </w:r>
      <w:r>
        <w:rPr>
          <w:rStyle w:val="Emphasis"/>
          <w:rFonts w:ascii="Arial" w:hAnsi="Arial" w:cs="Arial"/>
          <w:color w:val="000000"/>
          <w:sz w:val="20"/>
          <w:szCs w:val="20"/>
        </w:rPr>
        <w:t>ican</w:t>
      </w:r>
      <w:r w:rsidRPr="007D6B26">
        <w:rPr>
          <w:rStyle w:val="Emphasis"/>
          <w:rFonts w:ascii="Arial" w:hAnsi="Arial" w:cs="Arial"/>
          <w:color w:val="000000"/>
          <w:sz w:val="20"/>
          <w:szCs w:val="20"/>
        </w:rPr>
        <w:t xml:space="preserve"> Community Survey, </w:t>
      </w:r>
      <w:r w:rsidRPr="007D6B26">
        <w:rPr>
          <w:rStyle w:val="Emphasis"/>
          <w:rFonts w:ascii="Arial" w:hAnsi="Arial" w:cs="Arial"/>
          <w:i w:val="0"/>
          <w:iCs w:val="0"/>
          <w:color w:val="000000"/>
          <w:sz w:val="20"/>
          <w:szCs w:val="20"/>
        </w:rPr>
        <w:t>U.S. Government Printing Office, Washington, DC, 2009</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Style w:val="Emphasis"/>
          <w:rFonts w:ascii="Arial" w:hAnsi="Arial" w:cs="Arial"/>
          <w:i w:val="0"/>
          <w:iCs w:val="0"/>
          <w:color w:val="000000"/>
          <w:sz w:val="20"/>
          <w:szCs w:val="20"/>
        </w:rPr>
      </w:pPr>
      <w:r w:rsidRPr="007D6B26">
        <w:rPr>
          <w:rStyle w:val="Emphasis"/>
          <w:rFonts w:ascii="Arial" w:hAnsi="Arial" w:cs="Arial"/>
          <w:i w:val="0"/>
          <w:iCs w:val="0"/>
          <w:color w:val="000000"/>
          <w:sz w:val="20"/>
          <w:szCs w:val="20"/>
        </w:rPr>
        <w:t xml:space="preserve">U.S. Census Bureau, Differences </w:t>
      </w:r>
      <w:proofErr w:type="gramStart"/>
      <w:r w:rsidRPr="007D6B26">
        <w:rPr>
          <w:rStyle w:val="Emphasis"/>
          <w:rFonts w:ascii="Arial" w:hAnsi="Arial" w:cs="Arial"/>
          <w:i w:val="0"/>
          <w:iCs w:val="0"/>
          <w:color w:val="000000"/>
          <w:sz w:val="20"/>
          <w:szCs w:val="20"/>
        </w:rPr>
        <w:t>Between</w:t>
      </w:r>
      <w:proofErr w:type="gramEnd"/>
      <w:r w:rsidRPr="007D6B26">
        <w:rPr>
          <w:rStyle w:val="Emphasis"/>
          <w:rFonts w:ascii="Arial" w:hAnsi="Arial" w:cs="Arial"/>
          <w:i w:val="0"/>
          <w:iCs w:val="0"/>
          <w:color w:val="000000"/>
          <w:sz w:val="20"/>
          <w:szCs w:val="20"/>
        </w:rPr>
        <w:t xml:space="preserve"> the Income and Poverty Estimates From the </w:t>
      </w:r>
      <w:proofErr w:type="spellStart"/>
      <w:r w:rsidRPr="007D6B26">
        <w:rPr>
          <w:rStyle w:val="Emphasis"/>
          <w:rFonts w:ascii="Arial" w:hAnsi="Arial" w:cs="Arial"/>
          <w:i w:val="0"/>
          <w:iCs w:val="0"/>
          <w:color w:val="000000"/>
          <w:sz w:val="20"/>
          <w:szCs w:val="20"/>
        </w:rPr>
        <w:t>Amercian</w:t>
      </w:r>
      <w:proofErr w:type="spellEnd"/>
      <w:r w:rsidRPr="007D6B26">
        <w:rPr>
          <w:rStyle w:val="Emphasis"/>
          <w:rFonts w:ascii="Arial" w:hAnsi="Arial" w:cs="Arial"/>
          <w:i w:val="0"/>
          <w:iCs w:val="0"/>
          <w:color w:val="000000"/>
          <w:sz w:val="20"/>
          <w:szCs w:val="20"/>
        </w:rPr>
        <w:t xml:space="preserve"> Community Survey and the Annual Social and Economic Supplement to the Current Population Survey,” 2009 </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right="-90" w:hanging="720"/>
        <w:rPr>
          <w:rStyle w:val="Hyperlink"/>
          <w:rFonts w:ascii="Arial" w:eastAsiaTheme="majorEastAsia" w:hAnsi="Arial" w:cs="Arial"/>
          <w:sz w:val="20"/>
          <w:szCs w:val="20"/>
        </w:rPr>
      </w:pPr>
      <w:r w:rsidRPr="007D6B26">
        <w:rPr>
          <w:rFonts w:ascii="Arial" w:hAnsi="Arial" w:cs="Arial"/>
          <w:sz w:val="20"/>
          <w:szCs w:val="20"/>
        </w:rPr>
        <w:t xml:space="preserve">U.S. Census Bureau. “Small Area Income and Poverty Estimates: 2006-2008 County-Level Estimation Details,” 2009. </w:t>
      </w:r>
    </w:p>
    <w:p w:rsidR="00D42C65" w:rsidRPr="007D6B26" w:rsidRDefault="00D42C65" w:rsidP="00D42C65">
      <w:pPr>
        <w:ind w:left="1440" w:hanging="720"/>
        <w:rPr>
          <w:rFonts w:ascii="Arial" w:eastAsiaTheme="majorEastAsia"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U.S. Census Bureau. “Description of Income and Poverty Data Sources.” Housing and Household Economics Statistics Division, 2006. </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U.S. Census Bureau. “Poverty: 2007 and 2008 Amer. Community Surveys Division, 2006. </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U.S. Census Bureau. “Guidance on Survey Differences in Income and Poverty Estimates.”  Housing and Household Economic Statistics Division, 2002. </w:t>
      </w:r>
    </w:p>
    <w:p w:rsidR="00D42C65" w:rsidRPr="007D6B26" w:rsidRDefault="00D42C65" w:rsidP="00D42C65">
      <w:pPr>
        <w:ind w:left="1440" w:hanging="720"/>
        <w:rPr>
          <w:rFonts w:ascii="Arial" w:hAnsi="Arial" w:cs="Arial"/>
          <w:sz w:val="20"/>
          <w:szCs w:val="20"/>
        </w:rPr>
      </w:pPr>
    </w:p>
    <w:p w:rsidR="00D42C65" w:rsidRPr="007D6B26" w:rsidRDefault="00D42C65" w:rsidP="00D42C65">
      <w:pPr>
        <w:ind w:left="1440" w:hanging="720"/>
        <w:rPr>
          <w:rFonts w:ascii="Arial" w:hAnsi="Arial" w:cs="Arial"/>
          <w:sz w:val="20"/>
          <w:szCs w:val="20"/>
        </w:rPr>
      </w:pPr>
      <w:r w:rsidRPr="007D6B26">
        <w:rPr>
          <w:rFonts w:ascii="Arial" w:hAnsi="Arial" w:cs="Arial"/>
          <w:sz w:val="20"/>
          <w:szCs w:val="20"/>
        </w:rPr>
        <w:t xml:space="preserve">Webster, Bruce H., Jr. and </w:t>
      </w:r>
      <w:proofErr w:type="spellStart"/>
      <w:r w:rsidRPr="007D6B26">
        <w:rPr>
          <w:rFonts w:ascii="Arial" w:hAnsi="Arial" w:cs="Arial"/>
          <w:sz w:val="20"/>
          <w:szCs w:val="20"/>
        </w:rPr>
        <w:t>Alemayehu</w:t>
      </w:r>
      <w:proofErr w:type="spellEnd"/>
      <w:r w:rsidRPr="007D6B26">
        <w:rPr>
          <w:rFonts w:ascii="Arial" w:hAnsi="Arial" w:cs="Arial"/>
          <w:sz w:val="20"/>
          <w:szCs w:val="20"/>
        </w:rPr>
        <w:t xml:space="preserve"> </w:t>
      </w:r>
      <w:proofErr w:type="spellStart"/>
      <w:r w:rsidRPr="007D6B26">
        <w:rPr>
          <w:rFonts w:ascii="Arial" w:hAnsi="Arial" w:cs="Arial"/>
          <w:sz w:val="20"/>
          <w:szCs w:val="20"/>
        </w:rPr>
        <w:t>Bishaw</w:t>
      </w:r>
      <w:proofErr w:type="spellEnd"/>
      <w:r w:rsidRPr="007D6B26">
        <w:rPr>
          <w:rFonts w:ascii="Arial" w:hAnsi="Arial" w:cs="Arial"/>
          <w:sz w:val="20"/>
          <w:szCs w:val="20"/>
        </w:rPr>
        <w:t xml:space="preserve">. U.S. Census Bureau, Amer. Community Survey Reports, ACS-02. </w:t>
      </w:r>
      <w:r w:rsidRPr="007D6B26">
        <w:rPr>
          <w:rFonts w:ascii="Arial" w:hAnsi="Arial" w:cs="Arial"/>
          <w:i/>
          <w:sz w:val="20"/>
          <w:szCs w:val="20"/>
        </w:rPr>
        <w:t xml:space="preserve">Income, Earnings, and Poverty Data </w:t>
      </w:r>
      <w:proofErr w:type="gramStart"/>
      <w:r w:rsidRPr="007D6B26">
        <w:rPr>
          <w:rFonts w:ascii="Arial" w:hAnsi="Arial" w:cs="Arial"/>
          <w:i/>
          <w:sz w:val="20"/>
          <w:szCs w:val="20"/>
        </w:rPr>
        <w:t>From</w:t>
      </w:r>
      <w:proofErr w:type="gramEnd"/>
      <w:r w:rsidRPr="007D6B26">
        <w:rPr>
          <w:rFonts w:ascii="Arial" w:hAnsi="Arial" w:cs="Arial"/>
          <w:i/>
          <w:sz w:val="20"/>
          <w:szCs w:val="20"/>
        </w:rPr>
        <w:t xml:space="preserve"> the 2005 Amer. Community Survey. </w:t>
      </w:r>
      <w:r w:rsidRPr="007D6B26">
        <w:rPr>
          <w:rFonts w:ascii="Arial" w:hAnsi="Arial" w:cs="Arial"/>
          <w:sz w:val="20"/>
          <w:szCs w:val="20"/>
        </w:rPr>
        <w:t xml:space="preserve">U.S. Government Printing Office, Washington, DC, 2006. </w:t>
      </w:r>
    </w:p>
    <w:p w:rsidR="00D42C65" w:rsidRDefault="00D42C65" w:rsidP="00D42C65">
      <w:pPr>
        <w:pStyle w:val="Header"/>
        <w:rPr>
          <w:rFonts w:ascii="Arial" w:hAnsi="Arial" w:cs="Arial"/>
          <w:b/>
          <w:sz w:val="20"/>
          <w:szCs w:val="20"/>
        </w:rPr>
      </w:pPr>
    </w:p>
    <w:p w:rsidR="0016782C" w:rsidRDefault="0016782C" w:rsidP="00D42C65">
      <w:pPr>
        <w:rPr>
          <w:rFonts w:ascii="Arial" w:hAnsi="Arial" w:cs="Arial"/>
          <w:sz w:val="20"/>
          <w:szCs w:val="20"/>
        </w:rPr>
      </w:pPr>
    </w:p>
    <w:p w:rsidR="00D42C65" w:rsidRPr="0006144C" w:rsidRDefault="00D42C65" w:rsidP="00D42C65">
      <w:pPr>
        <w:pStyle w:val="ListParagraph"/>
        <w:numPr>
          <w:ilvl w:val="0"/>
          <w:numId w:val="3"/>
        </w:numPr>
        <w:rPr>
          <w:rFonts w:ascii="Arial" w:hAnsi="Arial" w:cs="Arial"/>
          <w:b/>
          <w:sz w:val="20"/>
          <w:szCs w:val="20"/>
        </w:rPr>
      </w:pPr>
      <w:r w:rsidRPr="0006144C">
        <w:rPr>
          <w:rFonts w:ascii="Arial" w:hAnsi="Arial" w:cs="Arial"/>
          <w:b/>
          <w:sz w:val="20"/>
          <w:szCs w:val="20"/>
        </w:rPr>
        <w:t>End Notes</w:t>
      </w:r>
    </w:p>
    <w:p w:rsidR="00B40451" w:rsidRDefault="00B40451" w:rsidP="00D1114B">
      <w:pPr>
        <w:pStyle w:val="Header"/>
        <w:rPr>
          <w:rFonts w:ascii="Arial" w:hAnsi="Arial" w:cs="Arial"/>
          <w:b/>
          <w:sz w:val="20"/>
          <w:szCs w:val="20"/>
        </w:rPr>
      </w:pPr>
    </w:p>
    <w:sectPr w:rsidR="00B40451" w:rsidSect="00F5201F">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E78" w:rsidRDefault="00B17E78" w:rsidP="00732AD6">
      <w:r>
        <w:separator/>
      </w:r>
    </w:p>
  </w:endnote>
  <w:endnote w:type="continuationSeparator" w:id="0">
    <w:p w:rsidR="00B17E78" w:rsidRDefault="00B17E78" w:rsidP="00732AD6">
      <w:r>
        <w:continuationSeparator/>
      </w:r>
    </w:p>
  </w:endnote>
  <w:endnote w:id="1">
    <w:p w:rsidR="007E2217" w:rsidRDefault="007E2217" w:rsidP="00D42C65">
      <w:pPr>
        <w:pStyle w:val="EndnoteText"/>
      </w:pPr>
      <w:r>
        <w:rPr>
          <w:rStyle w:val="EndnoteReference"/>
        </w:rPr>
        <w:endnoteRef/>
      </w:r>
      <w:r>
        <w:t xml:space="preserve"> </w:t>
      </w:r>
      <w:r w:rsidRPr="005078A1">
        <w:rPr>
          <w:rFonts w:ascii="Arial" w:hAnsi="Arial" w:cs="Arial"/>
        </w:rPr>
        <w:t>The Group Quarters populations were estimated using the following method.</w:t>
      </w: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 xml:space="preserve">Extract SF1 </w:t>
      </w:r>
      <w:proofErr w:type="gramStart"/>
      <w:r w:rsidRPr="005078A1">
        <w:rPr>
          <w:rFonts w:ascii="Arial" w:hAnsi="Arial" w:cs="Arial"/>
          <w:sz w:val="20"/>
          <w:szCs w:val="20"/>
        </w:rPr>
        <w:t>tables</w:t>
      </w:r>
      <w:proofErr w:type="gramEnd"/>
      <w:r w:rsidRPr="005078A1">
        <w:rPr>
          <w:rFonts w:ascii="Arial" w:hAnsi="Arial" w:cs="Arial"/>
          <w:sz w:val="20"/>
          <w:szCs w:val="20"/>
        </w:rPr>
        <w:t xml:space="preserve"> pct13, pct13b through pct13i from files 18, 35, and 36. Table pct13 has household population counts for all races.  </w:t>
      </w:r>
      <w:proofErr w:type="gramStart"/>
      <w:r w:rsidRPr="005078A1">
        <w:rPr>
          <w:rFonts w:ascii="Arial" w:hAnsi="Arial" w:cs="Arial"/>
          <w:sz w:val="20"/>
          <w:szCs w:val="20"/>
        </w:rPr>
        <w:t>Tables</w:t>
      </w:r>
      <w:proofErr w:type="gramEnd"/>
      <w:r w:rsidRPr="005078A1">
        <w:rPr>
          <w:rFonts w:ascii="Arial" w:hAnsi="Arial" w:cs="Arial"/>
          <w:sz w:val="20"/>
          <w:szCs w:val="20"/>
        </w:rPr>
        <w:t xml:space="preserve"> pct13b, pct13c, pct13d, pct13e, pct13f, and pct13g have household population counts for Black or African American Alone, American Indian and Alaska Native Alone, Asian Alone, Native Hawaiian and other Pacific Islander Alone, Other Race Alone, Two or More Races respectively.  These categories include persons of Hispanic or Latino Origin.  Pct13h has household population counts for Hispanic or Latino and pct13i has counts for White Alone, Not Hispanic or Latino.  Hispanic or Latino and White Alone, Not Hispanic or Latino match race-ethnicity categories Hispanic and White used in our population estimates.  The other race groups do not match our categories because they include persons of Hispanic or Latino Origin.</w:t>
      </w:r>
    </w:p>
    <w:p w:rsidR="007E2217" w:rsidRPr="00E34C9B" w:rsidRDefault="007E2217" w:rsidP="00D42C65">
      <w:pPr>
        <w:pStyle w:val="ListParagraph"/>
        <w:ind w:left="1440" w:hanging="72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Set household population data for the categories White and Hispanic, used in our population estimates, equal to the White Alone, Not Hispanic and Hispanic or Latino data from the SF1 by sex and age group.</w:t>
      </w:r>
    </w:p>
    <w:p w:rsidR="007E2217" w:rsidRPr="00E34C9B" w:rsidRDefault="007E2217" w:rsidP="00D42C65">
      <w:pPr>
        <w:pStyle w:val="ListParagraph"/>
        <w:ind w:left="144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Subtract Hispanic or Latino and White Alone, Not Hispanic or Latino from the household population for all races by sex and age group.</w:t>
      </w:r>
    </w:p>
    <w:p w:rsidR="007E2217" w:rsidRPr="00E34C9B" w:rsidRDefault="007E2217" w:rsidP="00D42C65">
      <w:pPr>
        <w:ind w:left="72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 xml:space="preserve">Add remaining </w:t>
      </w:r>
      <w:r>
        <w:rPr>
          <w:rFonts w:ascii="Arial" w:hAnsi="Arial" w:cs="Arial"/>
          <w:sz w:val="20"/>
          <w:szCs w:val="20"/>
        </w:rPr>
        <w:t xml:space="preserve">household population </w:t>
      </w:r>
      <w:r w:rsidRPr="00E34C9B">
        <w:rPr>
          <w:rFonts w:ascii="Arial" w:hAnsi="Arial" w:cs="Arial"/>
          <w:sz w:val="20"/>
          <w:szCs w:val="20"/>
        </w:rPr>
        <w:t>races together (Black or African American Alone, American Indian and Alaska Native Alone, Asian Alone, Native Hawaiian and other Pacific Islander Alone, Other Race Alone, Two or More Races) by sex and age group.</w:t>
      </w:r>
    </w:p>
    <w:p w:rsidR="007E2217" w:rsidRPr="00E34C9B" w:rsidRDefault="007E2217" w:rsidP="00D42C65">
      <w:pPr>
        <w:ind w:left="72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If any of the sex and age-group cells in the remaining race groups (Black or African American Alone, American Indian and Alaska Native Alone, Asian Alone, Native Hawaiian and other Pacific Islander Alone, Other Race Alone, Two or More Races) is equal to zero for household population, we know that the corresponding cells in estimate race groups (which do not include Hispanic Origin) are also set to zero.</w:t>
      </w:r>
    </w:p>
    <w:p w:rsidR="007E2217" w:rsidRPr="00E34C9B" w:rsidRDefault="007E2217" w:rsidP="00D42C65">
      <w:pPr>
        <w:ind w:left="72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 xml:space="preserve">If the split census tract numbers by sex and age group from step </w:t>
      </w:r>
      <w:r>
        <w:rPr>
          <w:rFonts w:ascii="Arial" w:hAnsi="Arial" w:cs="Arial"/>
          <w:sz w:val="20"/>
          <w:szCs w:val="20"/>
        </w:rPr>
        <w:t>d</w:t>
      </w:r>
      <w:r w:rsidRPr="00E34C9B">
        <w:rPr>
          <w:rFonts w:ascii="Arial" w:hAnsi="Arial" w:cs="Arial"/>
          <w:sz w:val="20"/>
          <w:szCs w:val="20"/>
        </w:rPr>
        <w:t xml:space="preserve"> equal those from step </w:t>
      </w:r>
      <w:r>
        <w:rPr>
          <w:rFonts w:ascii="Arial" w:hAnsi="Arial" w:cs="Arial"/>
          <w:sz w:val="20"/>
          <w:szCs w:val="20"/>
        </w:rPr>
        <w:t>e</w:t>
      </w:r>
      <w:r w:rsidRPr="00E34C9B">
        <w:rPr>
          <w:rFonts w:ascii="Arial" w:hAnsi="Arial" w:cs="Arial"/>
          <w:sz w:val="20"/>
          <w:szCs w:val="20"/>
        </w:rPr>
        <w:t>, we know that the household populations by sex and age group for the Non-Hispanic race groups used in our model are the same as the household populations reported in SF1 for race groups that do include Hispanic or Latino.  Otherwise, the values are set to ‘missing.’</w:t>
      </w:r>
    </w:p>
    <w:p w:rsidR="007E2217" w:rsidRPr="00E34C9B" w:rsidRDefault="007E2217" w:rsidP="00D42C65">
      <w:pPr>
        <w:ind w:left="720"/>
        <w:rPr>
          <w:rFonts w:ascii="Arial" w:hAnsi="Arial" w:cs="Arial"/>
          <w:sz w:val="20"/>
          <w:szCs w:val="20"/>
        </w:rPr>
      </w:pP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 xml:space="preserve">Extract SF2 </w:t>
      </w:r>
      <w:proofErr w:type="gramStart"/>
      <w:r w:rsidRPr="005078A1">
        <w:rPr>
          <w:rFonts w:ascii="Arial" w:hAnsi="Arial" w:cs="Arial"/>
          <w:sz w:val="20"/>
          <w:szCs w:val="20"/>
        </w:rPr>
        <w:t>tables</w:t>
      </w:r>
      <w:proofErr w:type="gramEnd"/>
      <w:r w:rsidRPr="005078A1">
        <w:rPr>
          <w:rFonts w:ascii="Arial" w:hAnsi="Arial" w:cs="Arial"/>
          <w:sz w:val="20"/>
          <w:szCs w:val="20"/>
        </w:rPr>
        <w:t xml:space="preserve"> pct5 from file 4 iterations 453, 455, 457, 459, 461, 463. Table pct5 has household population counts.  Iterations 453, 455, 457, 459, 461, and 463 have counts for Black or African American Alone, Not Hispanic or Latino; American Indian and Alaska Native Alone, Not Hispanic or Latino; Asian Alone, Native Hawaiian and other Pacific Islander Alone, Not Hispanic or Latino; Other Race Alone, Not Hispanic or Latino; Two or More Races, Not Hispanic or Latino respectively.  These categories match our population estimate categories Black, American Indian, Asian, Pacific Islander, Other Race, Two or More Races.</w:t>
      </w:r>
    </w:p>
    <w:p w:rsidR="007E2217" w:rsidRPr="00E34C9B" w:rsidRDefault="007E2217" w:rsidP="00D42C65">
      <w:pPr>
        <w:ind w:left="720"/>
        <w:rPr>
          <w:rFonts w:ascii="Arial" w:hAnsi="Arial" w:cs="Arial"/>
          <w:sz w:val="20"/>
          <w:szCs w:val="20"/>
        </w:rPr>
      </w:pPr>
    </w:p>
    <w:p w:rsidR="007E2217" w:rsidRPr="00E34C9B" w:rsidRDefault="007E2217" w:rsidP="00D42C65">
      <w:pPr>
        <w:ind w:left="720"/>
        <w:rPr>
          <w:rFonts w:ascii="Arial" w:hAnsi="Arial" w:cs="Arial"/>
          <w:sz w:val="20"/>
          <w:szCs w:val="20"/>
        </w:rPr>
      </w:pP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 xml:space="preserve">Merge results from step </w:t>
      </w:r>
      <w:proofErr w:type="gramStart"/>
      <w:r>
        <w:rPr>
          <w:rFonts w:ascii="Arial" w:hAnsi="Arial" w:cs="Arial"/>
          <w:sz w:val="20"/>
          <w:szCs w:val="20"/>
        </w:rPr>
        <w:t xml:space="preserve">f </w:t>
      </w:r>
      <w:r w:rsidRPr="005078A1">
        <w:rPr>
          <w:rFonts w:ascii="Arial" w:hAnsi="Arial" w:cs="Arial"/>
          <w:sz w:val="20"/>
          <w:szCs w:val="20"/>
        </w:rPr>
        <w:t xml:space="preserve"> with</w:t>
      </w:r>
      <w:proofErr w:type="gramEnd"/>
      <w:r w:rsidRPr="005078A1">
        <w:rPr>
          <w:rFonts w:ascii="Arial" w:hAnsi="Arial" w:cs="Arial"/>
          <w:sz w:val="20"/>
          <w:szCs w:val="20"/>
        </w:rPr>
        <w:t xml:space="preserve"> SF2 files.  If there is a record in the SF2 file and the data using our population estimate race-ethnicity groups, based on the SF1 file is ‘missing’ then replace the ‘missing’ data with SF2 data.  Data by race group is suppressed in the SF2 if there are fewer than </w:t>
      </w:r>
      <w:r>
        <w:rPr>
          <w:rFonts w:ascii="Arial" w:hAnsi="Arial" w:cs="Arial"/>
          <w:sz w:val="20"/>
          <w:szCs w:val="20"/>
        </w:rPr>
        <w:t>100+</w:t>
      </w:r>
      <w:r w:rsidRPr="005078A1">
        <w:rPr>
          <w:rFonts w:ascii="Arial" w:hAnsi="Arial" w:cs="Arial"/>
          <w:sz w:val="20"/>
          <w:szCs w:val="20"/>
        </w:rPr>
        <w:t xml:space="preserve"> persons in that geographic area.  </w:t>
      </w:r>
    </w:p>
    <w:p w:rsidR="007E2217" w:rsidRPr="00E34C9B" w:rsidRDefault="007E2217" w:rsidP="00D42C65">
      <w:pPr>
        <w:pStyle w:val="ListParagraph"/>
        <w:ind w:left="2160"/>
        <w:rPr>
          <w:rFonts w:ascii="Arial" w:hAnsi="Arial" w:cs="Arial"/>
          <w:sz w:val="20"/>
          <w:szCs w:val="20"/>
        </w:rPr>
      </w:pP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Extract SF1 tables PCT12H through PCT12O from files 27 through 34. Tables PCT12H through PCT12O has single year total population for race-ethnicity groups matching those used in our population estimates (Hispanic, White, Black, American Indian, Asian, Pacific Islander, Other Race, and Two or More Races.)</w:t>
      </w:r>
    </w:p>
    <w:p w:rsidR="007E2217" w:rsidRPr="00E34C9B" w:rsidRDefault="007E2217" w:rsidP="00D42C65">
      <w:pPr>
        <w:pStyle w:val="ListParagraph"/>
        <w:ind w:left="144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Aggregate single year data to match age categories used in household data.</w:t>
      </w:r>
    </w:p>
    <w:p w:rsidR="007E2217" w:rsidRPr="00E34C9B" w:rsidRDefault="007E2217" w:rsidP="00D42C65">
      <w:pPr>
        <w:ind w:left="720"/>
        <w:rPr>
          <w:rFonts w:ascii="Arial" w:hAnsi="Arial" w:cs="Arial"/>
          <w:sz w:val="20"/>
          <w:szCs w:val="20"/>
        </w:rPr>
      </w:pP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Merge results from step 8 (household population data) with SF1 total population data.   Where household population counts are ‘missing’ replace with total population counts. If the household population cannot be determined replace with the total population.</w:t>
      </w:r>
    </w:p>
    <w:p w:rsidR="007E2217" w:rsidRPr="00E34C9B" w:rsidRDefault="007E2217" w:rsidP="00D42C65">
      <w:pPr>
        <w:ind w:left="72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Subtract household population from total population to get estimates of the group quarter’s population.</w:t>
      </w:r>
    </w:p>
    <w:p w:rsidR="007E2217" w:rsidRPr="00E34C9B" w:rsidRDefault="007E2217" w:rsidP="00D42C65">
      <w:pPr>
        <w:pStyle w:val="ListParagraph"/>
        <w:ind w:left="1440"/>
        <w:rPr>
          <w:rFonts w:ascii="Arial" w:hAnsi="Arial" w:cs="Arial"/>
          <w:sz w:val="20"/>
          <w:szCs w:val="20"/>
        </w:rPr>
      </w:pPr>
    </w:p>
    <w:p w:rsidR="007E2217" w:rsidRPr="005078A1" w:rsidRDefault="007E2217" w:rsidP="00D42C65">
      <w:pPr>
        <w:pStyle w:val="ListParagraph"/>
        <w:numPr>
          <w:ilvl w:val="0"/>
          <w:numId w:val="9"/>
        </w:numPr>
        <w:rPr>
          <w:rFonts w:ascii="Arial" w:hAnsi="Arial" w:cs="Arial"/>
          <w:sz w:val="20"/>
          <w:szCs w:val="20"/>
        </w:rPr>
      </w:pPr>
      <w:r w:rsidRPr="005078A1">
        <w:rPr>
          <w:rFonts w:ascii="Arial" w:hAnsi="Arial" w:cs="Arial"/>
          <w:sz w:val="20"/>
          <w:szCs w:val="20"/>
        </w:rPr>
        <w:t xml:space="preserve">Extract SF1 table PCT21. Table PCT21 has the total population in group </w:t>
      </w:r>
      <w:proofErr w:type="gramStart"/>
      <w:r w:rsidRPr="005078A1">
        <w:rPr>
          <w:rFonts w:ascii="Arial" w:hAnsi="Arial" w:cs="Arial"/>
          <w:sz w:val="20"/>
          <w:szCs w:val="20"/>
        </w:rPr>
        <w:t>quarter’s</w:t>
      </w:r>
      <w:proofErr w:type="gramEnd"/>
      <w:r w:rsidRPr="005078A1">
        <w:rPr>
          <w:rFonts w:ascii="Arial" w:hAnsi="Arial" w:cs="Arial"/>
          <w:sz w:val="20"/>
          <w:szCs w:val="20"/>
        </w:rPr>
        <w:t>.</w:t>
      </w:r>
    </w:p>
    <w:p w:rsidR="007E2217" w:rsidRPr="00E34C9B" w:rsidRDefault="007E2217" w:rsidP="00D42C65">
      <w:pPr>
        <w:pStyle w:val="ListParagraph"/>
        <w:ind w:left="216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Compare total group quarter’s estimates with total group quarter’s counts from SF1.</w:t>
      </w:r>
    </w:p>
    <w:p w:rsidR="007E2217" w:rsidRPr="00E34C9B" w:rsidRDefault="007E2217" w:rsidP="00D42C65">
      <w:pPr>
        <w:pStyle w:val="ListParagraph"/>
        <w:ind w:left="1800"/>
        <w:rPr>
          <w:rFonts w:ascii="Arial" w:hAnsi="Arial" w:cs="Arial"/>
          <w:sz w:val="20"/>
          <w:szCs w:val="20"/>
        </w:rPr>
      </w:pPr>
    </w:p>
    <w:p w:rsidR="007E2217" w:rsidRPr="00E34C9B" w:rsidRDefault="007E2217" w:rsidP="00D42C65">
      <w:pPr>
        <w:pStyle w:val="ListParagraph"/>
        <w:numPr>
          <w:ilvl w:val="0"/>
          <w:numId w:val="9"/>
        </w:numPr>
        <w:rPr>
          <w:rFonts w:ascii="Arial" w:hAnsi="Arial" w:cs="Arial"/>
          <w:sz w:val="20"/>
          <w:szCs w:val="20"/>
        </w:rPr>
      </w:pPr>
      <w:r w:rsidRPr="00E34C9B">
        <w:rPr>
          <w:rFonts w:ascii="Arial" w:hAnsi="Arial" w:cs="Arial"/>
          <w:sz w:val="20"/>
          <w:szCs w:val="20"/>
        </w:rPr>
        <w:t>Group quarter’s estimates are divided into single years based on the single-year population distribution in each tract, sex, race-ethnicity group.</w:t>
      </w:r>
    </w:p>
    <w:p w:rsidR="007E2217" w:rsidRDefault="007E2217" w:rsidP="00D42C6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217" w:rsidRDefault="007E2217" w:rsidP="00A04C4E">
    <w:pPr>
      <w:pStyle w:val="Footer"/>
      <w:tabs>
        <w:tab w:val="clear" w:pos="4680"/>
        <w:tab w:val="center" w:pos="4950"/>
      </w:tabs>
    </w:pPr>
    <w:r>
      <w:rPr>
        <w:rFonts w:ascii="Arial" w:hAnsi="Arial" w:cs="Arial"/>
        <w:sz w:val="20"/>
        <w:szCs w:val="20"/>
      </w:rPr>
      <w:t>Hedderson Demographic Services</w:t>
    </w:r>
    <w:r w:rsidRPr="00DA3285">
      <w:rPr>
        <w:rFonts w:ascii="Arial" w:hAnsi="Arial" w:cs="Arial"/>
        <w:sz w:val="20"/>
        <w:szCs w:val="20"/>
      </w:rPr>
      <w:tab/>
    </w:r>
    <w:r w:rsidR="00280B8F">
      <w:rPr>
        <w:rFonts w:ascii="Arial" w:hAnsi="Arial" w:cs="Arial"/>
        <w:sz w:val="20"/>
        <w:szCs w:val="20"/>
      </w:rPr>
      <w:t>April 20,</w:t>
    </w:r>
    <w:r>
      <w:rPr>
        <w:rFonts w:ascii="Arial" w:hAnsi="Arial" w:cs="Arial"/>
        <w:sz w:val="20"/>
        <w:szCs w:val="20"/>
      </w:rPr>
      <w:t xml:space="preserve"> 201</w:t>
    </w:r>
    <w:r w:rsidR="00280B8F">
      <w:rPr>
        <w:rFonts w:ascii="Arial" w:hAnsi="Arial" w:cs="Arial"/>
        <w:sz w:val="20"/>
        <w:szCs w:val="20"/>
      </w:rPr>
      <w:t>3</w:t>
    </w:r>
    <w:r w:rsidRPr="00DA3285">
      <w:rPr>
        <w:rFonts w:ascii="Arial" w:hAnsi="Arial" w:cs="Arial"/>
        <w:sz w:val="20"/>
        <w:szCs w:val="20"/>
      </w:rPr>
      <w:tab/>
    </w:r>
    <w:r w:rsidRPr="003C7F06">
      <w:rPr>
        <w:rFonts w:ascii="Arial" w:hAnsi="Arial" w:cs="Arial"/>
        <w:b/>
        <w:color w:val="808080" w:themeColor="background1" w:themeShade="80"/>
        <w:spacing w:val="60"/>
        <w:sz w:val="20"/>
        <w:szCs w:val="20"/>
      </w:rPr>
      <w:t>Page</w:t>
    </w:r>
    <w:r w:rsidRPr="003C7F06">
      <w:rPr>
        <w:rFonts w:ascii="Arial" w:hAnsi="Arial" w:cs="Arial"/>
        <w:b/>
        <w:sz w:val="20"/>
        <w:szCs w:val="20"/>
      </w:rPr>
      <w:t xml:space="preserve"> |</w:t>
    </w:r>
    <w:r w:rsidRPr="00DA3285">
      <w:rPr>
        <w:rFonts w:ascii="Arial" w:hAnsi="Arial" w:cs="Arial"/>
        <w:sz w:val="20"/>
        <w:szCs w:val="20"/>
      </w:rPr>
      <w:t xml:space="preserve"> </w:t>
    </w:r>
    <w:r w:rsidRPr="00DA3285">
      <w:rPr>
        <w:rFonts w:ascii="Arial" w:hAnsi="Arial" w:cs="Arial"/>
        <w:sz w:val="20"/>
        <w:szCs w:val="20"/>
      </w:rPr>
      <w:fldChar w:fldCharType="begin"/>
    </w:r>
    <w:r w:rsidRPr="00DA3285">
      <w:rPr>
        <w:rFonts w:ascii="Arial" w:hAnsi="Arial" w:cs="Arial"/>
        <w:sz w:val="20"/>
        <w:szCs w:val="20"/>
      </w:rPr>
      <w:instrText xml:space="preserve"> PAGE   \* MERGEFORMAT </w:instrText>
    </w:r>
    <w:r w:rsidRPr="00DA3285">
      <w:rPr>
        <w:rFonts w:ascii="Arial" w:hAnsi="Arial" w:cs="Arial"/>
        <w:sz w:val="20"/>
        <w:szCs w:val="20"/>
      </w:rPr>
      <w:fldChar w:fldCharType="separate"/>
    </w:r>
    <w:r w:rsidR="00D738D3" w:rsidRPr="00D738D3">
      <w:rPr>
        <w:rFonts w:ascii="Arial" w:hAnsi="Arial" w:cs="Arial"/>
        <w:b/>
        <w:bCs/>
        <w:noProof/>
        <w:sz w:val="20"/>
        <w:szCs w:val="20"/>
      </w:rPr>
      <w:t>16</w:t>
    </w:r>
    <w:r w:rsidRPr="00DA3285">
      <w:rPr>
        <w:rFonts w:ascii="Arial" w:hAnsi="Arial" w:cs="Arial"/>
        <w:b/>
        <w:bCs/>
        <w:noProof/>
        <w:sz w:val="20"/>
        <w:szCs w:val="20"/>
      </w:rPr>
      <w:fldChar w:fldCharType="end"/>
    </w:r>
    <w:r>
      <w:rPr>
        <w:rFonts w:ascii="Arial" w:hAnsi="Arial" w:cs="Arial"/>
        <w:b/>
        <w:bCs/>
        <w:noProof/>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E78" w:rsidRDefault="00B17E78" w:rsidP="00732AD6">
      <w:r>
        <w:separator/>
      </w:r>
    </w:p>
  </w:footnote>
  <w:footnote w:type="continuationSeparator" w:id="0">
    <w:p w:rsidR="00B17E78" w:rsidRDefault="00B17E78" w:rsidP="00732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237C"/>
    <w:multiLevelType w:val="hybridMultilevel"/>
    <w:tmpl w:val="FB801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30723"/>
    <w:multiLevelType w:val="hybridMultilevel"/>
    <w:tmpl w:val="4170B6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4182C"/>
    <w:multiLevelType w:val="multilevel"/>
    <w:tmpl w:val="0016BE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4D5DA4"/>
    <w:multiLevelType w:val="hybridMultilevel"/>
    <w:tmpl w:val="D870B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E36B9"/>
    <w:multiLevelType w:val="multilevel"/>
    <w:tmpl w:val="22FA27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311D27"/>
    <w:multiLevelType w:val="hybridMultilevel"/>
    <w:tmpl w:val="5EDA47DE"/>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6" w15:restartNumberingAfterBreak="0">
    <w:nsid w:val="228E5F8E"/>
    <w:multiLevelType w:val="hybridMultilevel"/>
    <w:tmpl w:val="8796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0278C"/>
    <w:multiLevelType w:val="hybridMultilevel"/>
    <w:tmpl w:val="D92C14E0"/>
    <w:lvl w:ilvl="0" w:tplc="378C5250">
      <w:start w:val="1"/>
      <w:numFmt w:val="decimal"/>
      <w:lvlText w:val="%1."/>
      <w:lvlJc w:val="left"/>
      <w:pPr>
        <w:tabs>
          <w:tab w:val="num" w:pos="720"/>
        </w:tabs>
        <w:ind w:left="720" w:hanging="360"/>
      </w:pPr>
    </w:lvl>
    <w:lvl w:ilvl="1" w:tplc="43023A28">
      <w:start w:val="1"/>
      <w:numFmt w:val="lowerLetter"/>
      <w:lvlText w:val="%2)"/>
      <w:lvlJc w:val="left"/>
      <w:pPr>
        <w:tabs>
          <w:tab w:val="num" w:pos="1440"/>
        </w:tabs>
        <w:ind w:left="1440" w:hanging="360"/>
      </w:pPr>
    </w:lvl>
    <w:lvl w:ilvl="2" w:tplc="5D7A6A12" w:tentative="1">
      <w:start w:val="1"/>
      <w:numFmt w:val="decimal"/>
      <w:lvlText w:val="%3."/>
      <w:lvlJc w:val="left"/>
      <w:pPr>
        <w:tabs>
          <w:tab w:val="num" w:pos="2160"/>
        </w:tabs>
        <w:ind w:left="2160" w:hanging="360"/>
      </w:pPr>
    </w:lvl>
    <w:lvl w:ilvl="3" w:tplc="B91E6B20" w:tentative="1">
      <w:start w:val="1"/>
      <w:numFmt w:val="decimal"/>
      <w:lvlText w:val="%4."/>
      <w:lvlJc w:val="left"/>
      <w:pPr>
        <w:tabs>
          <w:tab w:val="num" w:pos="2880"/>
        </w:tabs>
        <w:ind w:left="2880" w:hanging="360"/>
      </w:pPr>
    </w:lvl>
    <w:lvl w:ilvl="4" w:tplc="20CC7EEA" w:tentative="1">
      <w:start w:val="1"/>
      <w:numFmt w:val="decimal"/>
      <w:lvlText w:val="%5."/>
      <w:lvlJc w:val="left"/>
      <w:pPr>
        <w:tabs>
          <w:tab w:val="num" w:pos="3600"/>
        </w:tabs>
        <w:ind w:left="3600" w:hanging="360"/>
      </w:pPr>
    </w:lvl>
    <w:lvl w:ilvl="5" w:tplc="43EC2552" w:tentative="1">
      <w:start w:val="1"/>
      <w:numFmt w:val="decimal"/>
      <w:lvlText w:val="%6."/>
      <w:lvlJc w:val="left"/>
      <w:pPr>
        <w:tabs>
          <w:tab w:val="num" w:pos="4320"/>
        </w:tabs>
        <w:ind w:left="4320" w:hanging="360"/>
      </w:pPr>
    </w:lvl>
    <w:lvl w:ilvl="6" w:tplc="3AD8F510" w:tentative="1">
      <w:start w:val="1"/>
      <w:numFmt w:val="decimal"/>
      <w:lvlText w:val="%7."/>
      <w:lvlJc w:val="left"/>
      <w:pPr>
        <w:tabs>
          <w:tab w:val="num" w:pos="5040"/>
        </w:tabs>
        <w:ind w:left="5040" w:hanging="360"/>
      </w:pPr>
    </w:lvl>
    <w:lvl w:ilvl="7" w:tplc="15C6A518" w:tentative="1">
      <w:start w:val="1"/>
      <w:numFmt w:val="decimal"/>
      <w:lvlText w:val="%8."/>
      <w:lvlJc w:val="left"/>
      <w:pPr>
        <w:tabs>
          <w:tab w:val="num" w:pos="5760"/>
        </w:tabs>
        <w:ind w:left="5760" w:hanging="360"/>
      </w:pPr>
    </w:lvl>
    <w:lvl w:ilvl="8" w:tplc="2F009784" w:tentative="1">
      <w:start w:val="1"/>
      <w:numFmt w:val="decimal"/>
      <w:lvlText w:val="%9."/>
      <w:lvlJc w:val="left"/>
      <w:pPr>
        <w:tabs>
          <w:tab w:val="num" w:pos="6480"/>
        </w:tabs>
        <w:ind w:left="6480" w:hanging="360"/>
      </w:pPr>
    </w:lvl>
  </w:abstractNum>
  <w:abstractNum w:abstractNumId="8" w15:restartNumberingAfterBreak="0">
    <w:nsid w:val="2FFD4903"/>
    <w:multiLevelType w:val="hybridMultilevel"/>
    <w:tmpl w:val="77AEEA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725D2"/>
    <w:multiLevelType w:val="hybridMultilevel"/>
    <w:tmpl w:val="564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E1A86"/>
    <w:multiLevelType w:val="hybridMultilevel"/>
    <w:tmpl w:val="DBCA8E18"/>
    <w:lvl w:ilvl="0" w:tplc="B0ECE656">
      <w:start w:val="1"/>
      <w:numFmt w:val="decimal"/>
      <w:pStyle w:val="TOC3"/>
      <w:lvlText w:val="%1."/>
      <w:lvlJc w:val="left"/>
      <w:pPr>
        <w:ind w:left="720" w:hanging="360"/>
      </w:pPr>
      <w:rPr>
        <w:rFonts w:ascii="Arial" w:hAnsi="Arial" w:cs="Aria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47C64"/>
    <w:multiLevelType w:val="hybridMultilevel"/>
    <w:tmpl w:val="B9022412"/>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 w15:restartNumberingAfterBreak="0">
    <w:nsid w:val="6DD41BC4"/>
    <w:multiLevelType w:val="hybridMultilevel"/>
    <w:tmpl w:val="247ABE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37CFE"/>
    <w:multiLevelType w:val="hybridMultilevel"/>
    <w:tmpl w:val="068C69B2"/>
    <w:lvl w:ilvl="0" w:tplc="E9E6A90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13"/>
  </w:num>
  <w:num w:numId="4">
    <w:abstractNumId w:val="3"/>
  </w:num>
  <w:num w:numId="5">
    <w:abstractNumId w:val="4"/>
  </w:num>
  <w:num w:numId="6">
    <w:abstractNumId w:val="2"/>
  </w:num>
  <w:num w:numId="7">
    <w:abstractNumId w:val="0"/>
  </w:num>
  <w:num w:numId="8">
    <w:abstractNumId w:val="1"/>
  </w:num>
  <w:num w:numId="9">
    <w:abstractNumId w:val="8"/>
  </w:num>
  <w:num w:numId="10">
    <w:abstractNumId w:val="12"/>
  </w:num>
  <w:num w:numId="11">
    <w:abstractNumId w:val="9"/>
  </w:num>
  <w:num w:numId="12">
    <w:abstractNumId w:val="1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05"/>
    <w:rsid w:val="0001095C"/>
    <w:rsid w:val="00012E80"/>
    <w:rsid w:val="00015CD4"/>
    <w:rsid w:val="000357B7"/>
    <w:rsid w:val="00056B65"/>
    <w:rsid w:val="000609F0"/>
    <w:rsid w:val="00060B84"/>
    <w:rsid w:val="0006144C"/>
    <w:rsid w:val="00071805"/>
    <w:rsid w:val="000770D4"/>
    <w:rsid w:val="00082956"/>
    <w:rsid w:val="000904B8"/>
    <w:rsid w:val="0009647F"/>
    <w:rsid w:val="000A02B1"/>
    <w:rsid w:val="000A0D15"/>
    <w:rsid w:val="000A4B30"/>
    <w:rsid w:val="000A56CE"/>
    <w:rsid w:val="000B6F8F"/>
    <w:rsid w:val="000B79C3"/>
    <w:rsid w:val="000C1902"/>
    <w:rsid w:val="000C4772"/>
    <w:rsid w:val="000C6911"/>
    <w:rsid w:val="000D3481"/>
    <w:rsid w:val="000E364A"/>
    <w:rsid w:val="000E47D4"/>
    <w:rsid w:val="000E55FD"/>
    <w:rsid w:val="000F25B9"/>
    <w:rsid w:val="00101212"/>
    <w:rsid w:val="00102E61"/>
    <w:rsid w:val="00103F01"/>
    <w:rsid w:val="001179ED"/>
    <w:rsid w:val="00137837"/>
    <w:rsid w:val="00141252"/>
    <w:rsid w:val="00147A6E"/>
    <w:rsid w:val="00150B64"/>
    <w:rsid w:val="00152797"/>
    <w:rsid w:val="00154B0A"/>
    <w:rsid w:val="00163D29"/>
    <w:rsid w:val="0016782C"/>
    <w:rsid w:val="00186FF5"/>
    <w:rsid w:val="001900A3"/>
    <w:rsid w:val="00192580"/>
    <w:rsid w:val="00194910"/>
    <w:rsid w:val="001B0860"/>
    <w:rsid w:val="001C3F0A"/>
    <w:rsid w:val="001C4A74"/>
    <w:rsid w:val="001C4F05"/>
    <w:rsid w:val="001D2F04"/>
    <w:rsid w:val="001E61BC"/>
    <w:rsid w:val="002207DF"/>
    <w:rsid w:val="002351D8"/>
    <w:rsid w:val="00246855"/>
    <w:rsid w:val="002500E7"/>
    <w:rsid w:val="00254B7B"/>
    <w:rsid w:val="002634E4"/>
    <w:rsid w:val="00264D3B"/>
    <w:rsid w:val="0027014B"/>
    <w:rsid w:val="00270169"/>
    <w:rsid w:val="0027533D"/>
    <w:rsid w:val="00280B8F"/>
    <w:rsid w:val="00284BB9"/>
    <w:rsid w:val="00287401"/>
    <w:rsid w:val="002A5685"/>
    <w:rsid w:val="002B2A9F"/>
    <w:rsid w:val="002B62DF"/>
    <w:rsid w:val="002C07F5"/>
    <w:rsid w:val="002D3B6A"/>
    <w:rsid w:val="002D7678"/>
    <w:rsid w:val="002E05DE"/>
    <w:rsid w:val="002E0E4F"/>
    <w:rsid w:val="002E359E"/>
    <w:rsid w:val="00314F86"/>
    <w:rsid w:val="00317147"/>
    <w:rsid w:val="003328EF"/>
    <w:rsid w:val="00334799"/>
    <w:rsid w:val="00340FC5"/>
    <w:rsid w:val="00341925"/>
    <w:rsid w:val="00346305"/>
    <w:rsid w:val="0035102B"/>
    <w:rsid w:val="00354666"/>
    <w:rsid w:val="00360B3F"/>
    <w:rsid w:val="003619E2"/>
    <w:rsid w:val="00370E70"/>
    <w:rsid w:val="00370FD6"/>
    <w:rsid w:val="00372C1C"/>
    <w:rsid w:val="00380BF0"/>
    <w:rsid w:val="003831F2"/>
    <w:rsid w:val="00386C43"/>
    <w:rsid w:val="0039103E"/>
    <w:rsid w:val="003935DD"/>
    <w:rsid w:val="003958C3"/>
    <w:rsid w:val="003A0632"/>
    <w:rsid w:val="003A0E23"/>
    <w:rsid w:val="003A1B2F"/>
    <w:rsid w:val="003C5C97"/>
    <w:rsid w:val="003C7F06"/>
    <w:rsid w:val="003C7F69"/>
    <w:rsid w:val="003D7C67"/>
    <w:rsid w:val="003F15EB"/>
    <w:rsid w:val="0040102E"/>
    <w:rsid w:val="0040318A"/>
    <w:rsid w:val="00404191"/>
    <w:rsid w:val="00404529"/>
    <w:rsid w:val="00407B5F"/>
    <w:rsid w:val="00412B6E"/>
    <w:rsid w:val="00431B7B"/>
    <w:rsid w:val="00432A77"/>
    <w:rsid w:val="00441700"/>
    <w:rsid w:val="004646F5"/>
    <w:rsid w:val="00473664"/>
    <w:rsid w:val="004756C9"/>
    <w:rsid w:val="00484157"/>
    <w:rsid w:val="00487BF0"/>
    <w:rsid w:val="004919B3"/>
    <w:rsid w:val="004949D9"/>
    <w:rsid w:val="0049653E"/>
    <w:rsid w:val="0049722E"/>
    <w:rsid w:val="004A0E97"/>
    <w:rsid w:val="004A5E68"/>
    <w:rsid w:val="004A625D"/>
    <w:rsid w:val="004C6E61"/>
    <w:rsid w:val="004C6FB1"/>
    <w:rsid w:val="004D48AE"/>
    <w:rsid w:val="004E1504"/>
    <w:rsid w:val="004E5F27"/>
    <w:rsid w:val="004F3BF8"/>
    <w:rsid w:val="00503090"/>
    <w:rsid w:val="005073B7"/>
    <w:rsid w:val="005078A1"/>
    <w:rsid w:val="00527D9C"/>
    <w:rsid w:val="00545FF4"/>
    <w:rsid w:val="00547294"/>
    <w:rsid w:val="005504E9"/>
    <w:rsid w:val="0055677E"/>
    <w:rsid w:val="00557E3C"/>
    <w:rsid w:val="00562B9A"/>
    <w:rsid w:val="005657F3"/>
    <w:rsid w:val="0057185E"/>
    <w:rsid w:val="00571DEB"/>
    <w:rsid w:val="00572ADA"/>
    <w:rsid w:val="0057476D"/>
    <w:rsid w:val="00574D0F"/>
    <w:rsid w:val="00577EF5"/>
    <w:rsid w:val="005838F4"/>
    <w:rsid w:val="005957CC"/>
    <w:rsid w:val="005B1470"/>
    <w:rsid w:val="005C1828"/>
    <w:rsid w:val="005D2AD1"/>
    <w:rsid w:val="005D3F54"/>
    <w:rsid w:val="005F2592"/>
    <w:rsid w:val="005F4048"/>
    <w:rsid w:val="005F4CA9"/>
    <w:rsid w:val="005F67EA"/>
    <w:rsid w:val="00600DD3"/>
    <w:rsid w:val="006106E5"/>
    <w:rsid w:val="006110EC"/>
    <w:rsid w:val="00614A5B"/>
    <w:rsid w:val="00627286"/>
    <w:rsid w:val="006314AD"/>
    <w:rsid w:val="0063355C"/>
    <w:rsid w:val="0064385D"/>
    <w:rsid w:val="0064682B"/>
    <w:rsid w:val="006645EF"/>
    <w:rsid w:val="00677DE8"/>
    <w:rsid w:val="00683222"/>
    <w:rsid w:val="00683AAE"/>
    <w:rsid w:val="00695268"/>
    <w:rsid w:val="006B15AF"/>
    <w:rsid w:val="006B7CEA"/>
    <w:rsid w:val="006C020E"/>
    <w:rsid w:val="006C28E8"/>
    <w:rsid w:val="006C4ADA"/>
    <w:rsid w:val="006D6379"/>
    <w:rsid w:val="006D7927"/>
    <w:rsid w:val="006F3918"/>
    <w:rsid w:val="00701E70"/>
    <w:rsid w:val="007051AA"/>
    <w:rsid w:val="00705508"/>
    <w:rsid w:val="0071058C"/>
    <w:rsid w:val="007155E6"/>
    <w:rsid w:val="00721367"/>
    <w:rsid w:val="00724834"/>
    <w:rsid w:val="007311E2"/>
    <w:rsid w:val="00732AD6"/>
    <w:rsid w:val="0073396B"/>
    <w:rsid w:val="0073495A"/>
    <w:rsid w:val="00741023"/>
    <w:rsid w:val="00741B26"/>
    <w:rsid w:val="00742124"/>
    <w:rsid w:val="0074379D"/>
    <w:rsid w:val="007439CD"/>
    <w:rsid w:val="00753791"/>
    <w:rsid w:val="00755421"/>
    <w:rsid w:val="0075777B"/>
    <w:rsid w:val="00761FBC"/>
    <w:rsid w:val="0077160F"/>
    <w:rsid w:val="00771791"/>
    <w:rsid w:val="00771CD5"/>
    <w:rsid w:val="0077280E"/>
    <w:rsid w:val="007824CA"/>
    <w:rsid w:val="00793DED"/>
    <w:rsid w:val="00794EB1"/>
    <w:rsid w:val="00795D1D"/>
    <w:rsid w:val="00797F75"/>
    <w:rsid w:val="007B0D63"/>
    <w:rsid w:val="007B3F4D"/>
    <w:rsid w:val="007C1E48"/>
    <w:rsid w:val="007C355A"/>
    <w:rsid w:val="007C47BF"/>
    <w:rsid w:val="007C4B74"/>
    <w:rsid w:val="007C4E88"/>
    <w:rsid w:val="007C69C8"/>
    <w:rsid w:val="007D6B26"/>
    <w:rsid w:val="007E2217"/>
    <w:rsid w:val="007E65D3"/>
    <w:rsid w:val="007F471A"/>
    <w:rsid w:val="007F66BC"/>
    <w:rsid w:val="00803776"/>
    <w:rsid w:val="00803F4F"/>
    <w:rsid w:val="00804FB5"/>
    <w:rsid w:val="0081344F"/>
    <w:rsid w:val="00817663"/>
    <w:rsid w:val="00835618"/>
    <w:rsid w:val="00835B9E"/>
    <w:rsid w:val="00843E32"/>
    <w:rsid w:val="008516D1"/>
    <w:rsid w:val="00855A64"/>
    <w:rsid w:val="00867C64"/>
    <w:rsid w:val="008719A3"/>
    <w:rsid w:val="008724B4"/>
    <w:rsid w:val="008724FD"/>
    <w:rsid w:val="00873EAD"/>
    <w:rsid w:val="0087663E"/>
    <w:rsid w:val="0088421F"/>
    <w:rsid w:val="008954DD"/>
    <w:rsid w:val="008A4083"/>
    <w:rsid w:val="008A5848"/>
    <w:rsid w:val="008B4F51"/>
    <w:rsid w:val="008C2658"/>
    <w:rsid w:val="008C27DF"/>
    <w:rsid w:val="008C2AC7"/>
    <w:rsid w:val="008C2FE9"/>
    <w:rsid w:val="008C74C8"/>
    <w:rsid w:val="008D0BCC"/>
    <w:rsid w:val="008D29C5"/>
    <w:rsid w:val="008F0821"/>
    <w:rsid w:val="00902C64"/>
    <w:rsid w:val="00910723"/>
    <w:rsid w:val="00912AA8"/>
    <w:rsid w:val="0091504E"/>
    <w:rsid w:val="009151F6"/>
    <w:rsid w:val="009158F5"/>
    <w:rsid w:val="00921DA5"/>
    <w:rsid w:val="00922DAF"/>
    <w:rsid w:val="0092435D"/>
    <w:rsid w:val="00924E8A"/>
    <w:rsid w:val="00931E0C"/>
    <w:rsid w:val="00940B4B"/>
    <w:rsid w:val="00945586"/>
    <w:rsid w:val="00952004"/>
    <w:rsid w:val="0095550C"/>
    <w:rsid w:val="009627C1"/>
    <w:rsid w:val="009627FB"/>
    <w:rsid w:val="009647D1"/>
    <w:rsid w:val="00973D50"/>
    <w:rsid w:val="00974830"/>
    <w:rsid w:val="0097635E"/>
    <w:rsid w:val="00977ABD"/>
    <w:rsid w:val="00981176"/>
    <w:rsid w:val="00981F93"/>
    <w:rsid w:val="00983794"/>
    <w:rsid w:val="00984DF0"/>
    <w:rsid w:val="0099233A"/>
    <w:rsid w:val="009946C2"/>
    <w:rsid w:val="009A00EF"/>
    <w:rsid w:val="009A2FBE"/>
    <w:rsid w:val="009A6AD2"/>
    <w:rsid w:val="009B540B"/>
    <w:rsid w:val="009C4555"/>
    <w:rsid w:val="009D2AA6"/>
    <w:rsid w:val="009D4B70"/>
    <w:rsid w:val="009D5EB7"/>
    <w:rsid w:val="009E0EFC"/>
    <w:rsid w:val="009F2775"/>
    <w:rsid w:val="00A0084E"/>
    <w:rsid w:val="00A04C4E"/>
    <w:rsid w:val="00A11EB1"/>
    <w:rsid w:val="00A16C67"/>
    <w:rsid w:val="00A2273D"/>
    <w:rsid w:val="00A349FA"/>
    <w:rsid w:val="00A50C6D"/>
    <w:rsid w:val="00A53AFE"/>
    <w:rsid w:val="00A64153"/>
    <w:rsid w:val="00A648F8"/>
    <w:rsid w:val="00A660FC"/>
    <w:rsid w:val="00A70855"/>
    <w:rsid w:val="00A775B8"/>
    <w:rsid w:val="00A96030"/>
    <w:rsid w:val="00A9637C"/>
    <w:rsid w:val="00A96843"/>
    <w:rsid w:val="00A97D53"/>
    <w:rsid w:val="00AA378A"/>
    <w:rsid w:val="00AA6E6D"/>
    <w:rsid w:val="00AB3F70"/>
    <w:rsid w:val="00AB44D5"/>
    <w:rsid w:val="00AB4A48"/>
    <w:rsid w:val="00AC622E"/>
    <w:rsid w:val="00AD343B"/>
    <w:rsid w:val="00AE0F7B"/>
    <w:rsid w:val="00B07702"/>
    <w:rsid w:val="00B17E78"/>
    <w:rsid w:val="00B261E0"/>
    <w:rsid w:val="00B26F95"/>
    <w:rsid w:val="00B327B6"/>
    <w:rsid w:val="00B372DA"/>
    <w:rsid w:val="00B37A85"/>
    <w:rsid w:val="00B37C55"/>
    <w:rsid w:val="00B40451"/>
    <w:rsid w:val="00B470BD"/>
    <w:rsid w:val="00B471EF"/>
    <w:rsid w:val="00B552E6"/>
    <w:rsid w:val="00B60B2B"/>
    <w:rsid w:val="00B6394F"/>
    <w:rsid w:val="00B72AB5"/>
    <w:rsid w:val="00B73784"/>
    <w:rsid w:val="00B748C4"/>
    <w:rsid w:val="00B81988"/>
    <w:rsid w:val="00B82E9E"/>
    <w:rsid w:val="00B83D63"/>
    <w:rsid w:val="00B909B8"/>
    <w:rsid w:val="00B96248"/>
    <w:rsid w:val="00BA1A7A"/>
    <w:rsid w:val="00BA315E"/>
    <w:rsid w:val="00BC3C7D"/>
    <w:rsid w:val="00BC437E"/>
    <w:rsid w:val="00BD07D3"/>
    <w:rsid w:val="00BD0947"/>
    <w:rsid w:val="00BD3445"/>
    <w:rsid w:val="00BF137E"/>
    <w:rsid w:val="00BF16AD"/>
    <w:rsid w:val="00BF2917"/>
    <w:rsid w:val="00BF3F58"/>
    <w:rsid w:val="00BF4711"/>
    <w:rsid w:val="00C021D1"/>
    <w:rsid w:val="00C063AF"/>
    <w:rsid w:val="00C06D63"/>
    <w:rsid w:val="00C11EE0"/>
    <w:rsid w:val="00C20EAE"/>
    <w:rsid w:val="00C227FD"/>
    <w:rsid w:val="00C237A7"/>
    <w:rsid w:val="00C2492C"/>
    <w:rsid w:val="00C262C6"/>
    <w:rsid w:val="00C3001B"/>
    <w:rsid w:val="00C4102C"/>
    <w:rsid w:val="00C446E7"/>
    <w:rsid w:val="00C51ECD"/>
    <w:rsid w:val="00C55A70"/>
    <w:rsid w:val="00C67D89"/>
    <w:rsid w:val="00C7171A"/>
    <w:rsid w:val="00C71D7F"/>
    <w:rsid w:val="00C833AC"/>
    <w:rsid w:val="00C92418"/>
    <w:rsid w:val="00C96EA9"/>
    <w:rsid w:val="00C979F6"/>
    <w:rsid w:val="00CA7B23"/>
    <w:rsid w:val="00CB0A02"/>
    <w:rsid w:val="00CB3A03"/>
    <w:rsid w:val="00CD09B1"/>
    <w:rsid w:val="00CD37E0"/>
    <w:rsid w:val="00CD69C7"/>
    <w:rsid w:val="00CE43DA"/>
    <w:rsid w:val="00CE74D2"/>
    <w:rsid w:val="00CF492B"/>
    <w:rsid w:val="00CF5C64"/>
    <w:rsid w:val="00D07C54"/>
    <w:rsid w:val="00D1114B"/>
    <w:rsid w:val="00D113CF"/>
    <w:rsid w:val="00D11935"/>
    <w:rsid w:val="00D209CC"/>
    <w:rsid w:val="00D20B5D"/>
    <w:rsid w:val="00D37BEE"/>
    <w:rsid w:val="00D42C65"/>
    <w:rsid w:val="00D42E83"/>
    <w:rsid w:val="00D46090"/>
    <w:rsid w:val="00D55C33"/>
    <w:rsid w:val="00D57E47"/>
    <w:rsid w:val="00D60E02"/>
    <w:rsid w:val="00D6297C"/>
    <w:rsid w:val="00D6691E"/>
    <w:rsid w:val="00D72D66"/>
    <w:rsid w:val="00D738D3"/>
    <w:rsid w:val="00D87EC8"/>
    <w:rsid w:val="00D935AD"/>
    <w:rsid w:val="00DA3285"/>
    <w:rsid w:val="00DA3451"/>
    <w:rsid w:val="00DA3581"/>
    <w:rsid w:val="00DA4CDA"/>
    <w:rsid w:val="00DA6E04"/>
    <w:rsid w:val="00DB0584"/>
    <w:rsid w:val="00DB1FE3"/>
    <w:rsid w:val="00DD63F5"/>
    <w:rsid w:val="00DF164D"/>
    <w:rsid w:val="00DF24C2"/>
    <w:rsid w:val="00DF4065"/>
    <w:rsid w:val="00E10991"/>
    <w:rsid w:val="00E1793C"/>
    <w:rsid w:val="00E26D60"/>
    <w:rsid w:val="00E27D5B"/>
    <w:rsid w:val="00E32EE2"/>
    <w:rsid w:val="00E3655A"/>
    <w:rsid w:val="00E50AF3"/>
    <w:rsid w:val="00E50D8A"/>
    <w:rsid w:val="00E50E17"/>
    <w:rsid w:val="00E639C5"/>
    <w:rsid w:val="00E67C87"/>
    <w:rsid w:val="00E72485"/>
    <w:rsid w:val="00E7521E"/>
    <w:rsid w:val="00E866C6"/>
    <w:rsid w:val="00E92C35"/>
    <w:rsid w:val="00EA0196"/>
    <w:rsid w:val="00EA6FDE"/>
    <w:rsid w:val="00EB1BA9"/>
    <w:rsid w:val="00EB2EB4"/>
    <w:rsid w:val="00EC34C2"/>
    <w:rsid w:val="00EF14C4"/>
    <w:rsid w:val="00EF43CC"/>
    <w:rsid w:val="00F01EBF"/>
    <w:rsid w:val="00F06512"/>
    <w:rsid w:val="00F16896"/>
    <w:rsid w:val="00F229A7"/>
    <w:rsid w:val="00F277AC"/>
    <w:rsid w:val="00F31E68"/>
    <w:rsid w:val="00F4623D"/>
    <w:rsid w:val="00F4640C"/>
    <w:rsid w:val="00F5201F"/>
    <w:rsid w:val="00F529DD"/>
    <w:rsid w:val="00F53EE9"/>
    <w:rsid w:val="00F603D6"/>
    <w:rsid w:val="00F70A65"/>
    <w:rsid w:val="00F7203D"/>
    <w:rsid w:val="00F75151"/>
    <w:rsid w:val="00F8067B"/>
    <w:rsid w:val="00F82378"/>
    <w:rsid w:val="00F85B14"/>
    <w:rsid w:val="00F87223"/>
    <w:rsid w:val="00F9393E"/>
    <w:rsid w:val="00FB3A4D"/>
    <w:rsid w:val="00FB71E6"/>
    <w:rsid w:val="00FC4A7E"/>
    <w:rsid w:val="00FD1AB3"/>
    <w:rsid w:val="00FE27EC"/>
    <w:rsid w:val="00FE2DA9"/>
    <w:rsid w:val="00FE5D45"/>
    <w:rsid w:val="00FF7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162D5D09-FAE9-4447-955F-3590C9B0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37B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0B4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B4B"/>
    <w:rPr>
      <w:b/>
      <w:bCs/>
      <w:sz w:val="36"/>
      <w:szCs w:val="36"/>
    </w:rPr>
  </w:style>
  <w:style w:type="paragraph" w:styleId="BalloonText">
    <w:name w:val="Balloon Text"/>
    <w:basedOn w:val="Normal"/>
    <w:link w:val="BalloonTextChar"/>
    <w:rsid w:val="00071805"/>
    <w:rPr>
      <w:rFonts w:ascii="Tahoma" w:hAnsi="Tahoma" w:cs="Tahoma"/>
      <w:sz w:val="16"/>
      <w:szCs w:val="16"/>
    </w:rPr>
  </w:style>
  <w:style w:type="character" w:customStyle="1" w:styleId="BalloonTextChar">
    <w:name w:val="Balloon Text Char"/>
    <w:basedOn w:val="DefaultParagraphFont"/>
    <w:link w:val="BalloonText"/>
    <w:rsid w:val="00071805"/>
    <w:rPr>
      <w:rFonts w:ascii="Tahoma" w:hAnsi="Tahoma" w:cs="Tahoma"/>
      <w:sz w:val="16"/>
      <w:szCs w:val="16"/>
    </w:rPr>
  </w:style>
  <w:style w:type="paragraph" w:styleId="ListParagraph">
    <w:name w:val="List Paragraph"/>
    <w:basedOn w:val="Normal"/>
    <w:uiPriority w:val="34"/>
    <w:qFormat/>
    <w:rsid w:val="00732AD6"/>
    <w:pPr>
      <w:ind w:left="720"/>
      <w:contextualSpacing/>
    </w:pPr>
  </w:style>
  <w:style w:type="paragraph" w:styleId="Header">
    <w:name w:val="header"/>
    <w:basedOn w:val="Normal"/>
    <w:link w:val="HeaderChar"/>
    <w:rsid w:val="00732AD6"/>
    <w:pPr>
      <w:tabs>
        <w:tab w:val="center" w:pos="4680"/>
        <w:tab w:val="right" w:pos="9360"/>
      </w:tabs>
    </w:pPr>
  </w:style>
  <w:style w:type="character" w:customStyle="1" w:styleId="HeaderChar">
    <w:name w:val="Header Char"/>
    <w:basedOn w:val="DefaultParagraphFont"/>
    <w:link w:val="Header"/>
    <w:rsid w:val="00732AD6"/>
    <w:rPr>
      <w:sz w:val="24"/>
      <w:szCs w:val="24"/>
    </w:rPr>
  </w:style>
  <w:style w:type="paragraph" w:styleId="Footer">
    <w:name w:val="footer"/>
    <w:basedOn w:val="Normal"/>
    <w:link w:val="FooterChar"/>
    <w:rsid w:val="00732AD6"/>
    <w:pPr>
      <w:tabs>
        <w:tab w:val="center" w:pos="4680"/>
        <w:tab w:val="right" w:pos="9360"/>
      </w:tabs>
    </w:pPr>
  </w:style>
  <w:style w:type="character" w:customStyle="1" w:styleId="FooterChar">
    <w:name w:val="Footer Char"/>
    <w:basedOn w:val="DefaultParagraphFont"/>
    <w:link w:val="Footer"/>
    <w:rsid w:val="00732AD6"/>
    <w:rPr>
      <w:sz w:val="24"/>
      <w:szCs w:val="24"/>
    </w:rPr>
  </w:style>
  <w:style w:type="paragraph" w:styleId="FootnoteText">
    <w:name w:val="footnote text"/>
    <w:basedOn w:val="Normal"/>
    <w:link w:val="FootnoteTextChar"/>
    <w:rsid w:val="00B37C55"/>
    <w:rPr>
      <w:sz w:val="20"/>
      <w:szCs w:val="20"/>
    </w:rPr>
  </w:style>
  <w:style w:type="character" w:customStyle="1" w:styleId="FootnoteTextChar">
    <w:name w:val="Footnote Text Char"/>
    <w:basedOn w:val="DefaultParagraphFont"/>
    <w:link w:val="FootnoteText"/>
    <w:rsid w:val="00B37C55"/>
  </w:style>
  <w:style w:type="character" w:styleId="FootnoteReference">
    <w:name w:val="footnote reference"/>
    <w:basedOn w:val="DefaultParagraphFont"/>
    <w:rsid w:val="00B37C55"/>
    <w:rPr>
      <w:vertAlign w:val="superscript"/>
    </w:rPr>
  </w:style>
  <w:style w:type="paragraph" w:styleId="NoSpacing">
    <w:name w:val="No Spacing"/>
    <w:link w:val="NoSpacingChar"/>
    <w:uiPriority w:val="1"/>
    <w:qFormat/>
    <w:rsid w:val="00EC34C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C34C2"/>
    <w:rPr>
      <w:rFonts w:asciiTheme="minorHAnsi" w:eastAsiaTheme="minorEastAsia" w:hAnsiTheme="minorHAnsi" w:cstheme="minorBidi"/>
      <w:sz w:val="22"/>
      <w:szCs w:val="22"/>
      <w:lang w:eastAsia="ja-JP"/>
    </w:rPr>
  </w:style>
  <w:style w:type="character" w:styleId="CommentReference">
    <w:name w:val="annotation reference"/>
    <w:basedOn w:val="DefaultParagraphFont"/>
    <w:rsid w:val="00683222"/>
    <w:rPr>
      <w:sz w:val="16"/>
      <w:szCs w:val="16"/>
    </w:rPr>
  </w:style>
  <w:style w:type="paragraph" w:styleId="CommentText">
    <w:name w:val="annotation text"/>
    <w:basedOn w:val="Normal"/>
    <w:link w:val="CommentTextChar"/>
    <w:rsid w:val="00683222"/>
    <w:rPr>
      <w:sz w:val="20"/>
      <w:szCs w:val="20"/>
    </w:rPr>
  </w:style>
  <w:style w:type="character" w:customStyle="1" w:styleId="CommentTextChar">
    <w:name w:val="Comment Text Char"/>
    <w:basedOn w:val="DefaultParagraphFont"/>
    <w:link w:val="CommentText"/>
    <w:rsid w:val="00683222"/>
  </w:style>
  <w:style w:type="paragraph" w:styleId="CommentSubject">
    <w:name w:val="annotation subject"/>
    <w:basedOn w:val="CommentText"/>
    <w:next w:val="CommentText"/>
    <w:link w:val="CommentSubjectChar"/>
    <w:rsid w:val="00683222"/>
    <w:rPr>
      <w:b/>
      <w:bCs/>
    </w:rPr>
  </w:style>
  <w:style w:type="character" w:customStyle="1" w:styleId="CommentSubjectChar">
    <w:name w:val="Comment Subject Char"/>
    <w:basedOn w:val="CommentTextChar"/>
    <w:link w:val="CommentSubject"/>
    <w:rsid w:val="00683222"/>
    <w:rPr>
      <w:b/>
      <w:bCs/>
    </w:rPr>
  </w:style>
  <w:style w:type="table" w:styleId="TableGrid">
    <w:name w:val="Table Grid"/>
    <w:basedOn w:val="TableNormal"/>
    <w:rsid w:val="00A97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1099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E1099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270169"/>
    <w:pPr>
      <w:spacing w:before="100" w:beforeAutospacing="1" w:after="100" w:afterAutospacing="1"/>
    </w:pPr>
  </w:style>
  <w:style w:type="character" w:styleId="Hyperlink">
    <w:name w:val="Hyperlink"/>
    <w:basedOn w:val="DefaultParagraphFont"/>
    <w:uiPriority w:val="99"/>
    <w:unhideWhenUsed/>
    <w:rsid w:val="00A96030"/>
    <w:rPr>
      <w:color w:val="0000FF"/>
      <w:u w:val="single"/>
    </w:rPr>
  </w:style>
  <w:style w:type="character" w:styleId="Emphasis">
    <w:name w:val="Emphasis"/>
    <w:basedOn w:val="DefaultParagraphFont"/>
    <w:qFormat/>
    <w:rsid w:val="00A96030"/>
    <w:rPr>
      <w:i/>
      <w:iCs/>
    </w:rPr>
  </w:style>
  <w:style w:type="paragraph" w:styleId="EndnoteText">
    <w:name w:val="endnote text"/>
    <w:basedOn w:val="Normal"/>
    <w:link w:val="EndnoteTextChar"/>
    <w:rsid w:val="00102E61"/>
    <w:rPr>
      <w:sz w:val="20"/>
      <w:szCs w:val="20"/>
    </w:rPr>
  </w:style>
  <w:style w:type="character" w:customStyle="1" w:styleId="EndnoteTextChar">
    <w:name w:val="Endnote Text Char"/>
    <w:basedOn w:val="DefaultParagraphFont"/>
    <w:link w:val="EndnoteText"/>
    <w:rsid w:val="00102E61"/>
  </w:style>
  <w:style w:type="character" w:styleId="EndnoteReference">
    <w:name w:val="endnote reference"/>
    <w:basedOn w:val="DefaultParagraphFont"/>
    <w:rsid w:val="00102E61"/>
    <w:rPr>
      <w:vertAlign w:val="superscript"/>
    </w:rPr>
  </w:style>
  <w:style w:type="paragraph" w:customStyle="1" w:styleId="Default">
    <w:name w:val="Default"/>
    <w:rsid w:val="00D6691E"/>
    <w:pPr>
      <w:autoSpaceDE w:val="0"/>
      <w:autoSpaceDN w:val="0"/>
      <w:adjustRightInd w:val="0"/>
    </w:pPr>
    <w:rPr>
      <w:color w:val="000000"/>
      <w:sz w:val="24"/>
      <w:szCs w:val="24"/>
    </w:rPr>
  </w:style>
  <w:style w:type="character" w:styleId="FollowedHyperlink">
    <w:name w:val="FollowedHyperlink"/>
    <w:basedOn w:val="DefaultParagraphFont"/>
    <w:uiPriority w:val="99"/>
    <w:rsid w:val="00BF137E"/>
    <w:rPr>
      <w:color w:val="800080" w:themeColor="followedHyperlink"/>
      <w:u w:val="single"/>
    </w:rPr>
  </w:style>
  <w:style w:type="paragraph" w:styleId="TOCHeading">
    <w:name w:val="TOC Heading"/>
    <w:basedOn w:val="Heading1"/>
    <w:next w:val="Normal"/>
    <w:uiPriority w:val="39"/>
    <w:semiHidden/>
    <w:unhideWhenUsed/>
    <w:qFormat/>
    <w:rsid w:val="00797F75"/>
    <w:pPr>
      <w:spacing w:line="276" w:lineRule="auto"/>
      <w:outlineLvl w:val="9"/>
    </w:pPr>
    <w:rPr>
      <w:lang w:eastAsia="ja-JP"/>
    </w:rPr>
  </w:style>
  <w:style w:type="paragraph" w:styleId="TOC2">
    <w:name w:val="toc 2"/>
    <w:basedOn w:val="Normal"/>
    <w:next w:val="Normal"/>
    <w:autoRedefine/>
    <w:uiPriority w:val="39"/>
    <w:unhideWhenUsed/>
    <w:qFormat/>
    <w:rsid w:val="00797F75"/>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7F75"/>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CE74D2"/>
    <w:pPr>
      <w:numPr>
        <w:numId w:val="12"/>
      </w:numPr>
      <w:spacing w:after="100" w:line="276" w:lineRule="auto"/>
    </w:pPr>
    <w:rPr>
      <w:rFonts w:ascii="Arial" w:eastAsiaTheme="minorEastAsia" w:hAnsi="Arial" w:cs="Arial"/>
      <w:b/>
      <w:sz w:val="22"/>
      <w:szCs w:val="22"/>
      <w:lang w:eastAsia="ja-JP"/>
    </w:rPr>
  </w:style>
  <w:style w:type="paragraph" w:styleId="PlainText">
    <w:name w:val="Plain Text"/>
    <w:basedOn w:val="Normal"/>
    <w:link w:val="PlainTextChar"/>
    <w:uiPriority w:val="99"/>
    <w:unhideWhenUsed/>
    <w:rsid w:val="00910723"/>
    <w:rPr>
      <w:rFonts w:ascii="Calibri" w:hAnsi="Calibri"/>
      <w:sz w:val="22"/>
      <w:szCs w:val="21"/>
    </w:rPr>
  </w:style>
  <w:style w:type="character" w:customStyle="1" w:styleId="PlainTextChar">
    <w:name w:val="Plain Text Char"/>
    <w:basedOn w:val="DefaultParagraphFont"/>
    <w:link w:val="PlainText"/>
    <w:uiPriority w:val="99"/>
    <w:rsid w:val="00910723"/>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7954">
      <w:bodyDiv w:val="1"/>
      <w:marLeft w:val="0"/>
      <w:marRight w:val="0"/>
      <w:marTop w:val="0"/>
      <w:marBottom w:val="0"/>
      <w:divBdr>
        <w:top w:val="none" w:sz="0" w:space="0" w:color="auto"/>
        <w:left w:val="none" w:sz="0" w:space="0" w:color="auto"/>
        <w:bottom w:val="none" w:sz="0" w:space="0" w:color="auto"/>
        <w:right w:val="none" w:sz="0" w:space="0" w:color="auto"/>
      </w:divBdr>
    </w:div>
    <w:div w:id="273682010">
      <w:bodyDiv w:val="1"/>
      <w:marLeft w:val="0"/>
      <w:marRight w:val="0"/>
      <w:marTop w:val="0"/>
      <w:marBottom w:val="0"/>
      <w:divBdr>
        <w:top w:val="none" w:sz="0" w:space="0" w:color="auto"/>
        <w:left w:val="none" w:sz="0" w:space="0" w:color="auto"/>
        <w:bottom w:val="none" w:sz="0" w:space="0" w:color="auto"/>
        <w:right w:val="none" w:sz="0" w:space="0" w:color="auto"/>
      </w:divBdr>
    </w:div>
    <w:div w:id="303850318">
      <w:bodyDiv w:val="1"/>
      <w:marLeft w:val="0"/>
      <w:marRight w:val="0"/>
      <w:marTop w:val="0"/>
      <w:marBottom w:val="0"/>
      <w:divBdr>
        <w:top w:val="none" w:sz="0" w:space="0" w:color="auto"/>
        <w:left w:val="none" w:sz="0" w:space="0" w:color="auto"/>
        <w:bottom w:val="none" w:sz="0" w:space="0" w:color="auto"/>
        <w:right w:val="none" w:sz="0" w:space="0" w:color="auto"/>
      </w:divBdr>
    </w:div>
    <w:div w:id="348482278">
      <w:bodyDiv w:val="1"/>
      <w:marLeft w:val="0"/>
      <w:marRight w:val="0"/>
      <w:marTop w:val="0"/>
      <w:marBottom w:val="0"/>
      <w:divBdr>
        <w:top w:val="none" w:sz="0" w:space="0" w:color="auto"/>
        <w:left w:val="none" w:sz="0" w:space="0" w:color="auto"/>
        <w:bottom w:val="none" w:sz="0" w:space="0" w:color="auto"/>
        <w:right w:val="none" w:sz="0" w:space="0" w:color="auto"/>
      </w:divBdr>
      <w:divsChild>
        <w:div w:id="139884798">
          <w:marLeft w:val="360"/>
          <w:marRight w:val="0"/>
          <w:marTop w:val="0"/>
          <w:marBottom w:val="0"/>
          <w:divBdr>
            <w:top w:val="none" w:sz="0" w:space="0" w:color="auto"/>
            <w:left w:val="none" w:sz="0" w:space="0" w:color="auto"/>
            <w:bottom w:val="none" w:sz="0" w:space="0" w:color="auto"/>
            <w:right w:val="none" w:sz="0" w:space="0" w:color="auto"/>
          </w:divBdr>
        </w:div>
        <w:div w:id="184756337">
          <w:marLeft w:val="360"/>
          <w:marRight w:val="0"/>
          <w:marTop w:val="0"/>
          <w:marBottom w:val="0"/>
          <w:divBdr>
            <w:top w:val="none" w:sz="0" w:space="0" w:color="auto"/>
            <w:left w:val="none" w:sz="0" w:space="0" w:color="auto"/>
            <w:bottom w:val="none" w:sz="0" w:space="0" w:color="auto"/>
            <w:right w:val="none" w:sz="0" w:space="0" w:color="auto"/>
          </w:divBdr>
        </w:div>
        <w:div w:id="1180393581">
          <w:marLeft w:val="1080"/>
          <w:marRight w:val="0"/>
          <w:marTop w:val="0"/>
          <w:marBottom w:val="0"/>
          <w:divBdr>
            <w:top w:val="none" w:sz="0" w:space="0" w:color="auto"/>
            <w:left w:val="none" w:sz="0" w:space="0" w:color="auto"/>
            <w:bottom w:val="none" w:sz="0" w:space="0" w:color="auto"/>
            <w:right w:val="none" w:sz="0" w:space="0" w:color="auto"/>
          </w:divBdr>
        </w:div>
        <w:div w:id="1629777211">
          <w:marLeft w:val="1080"/>
          <w:marRight w:val="0"/>
          <w:marTop w:val="0"/>
          <w:marBottom w:val="0"/>
          <w:divBdr>
            <w:top w:val="none" w:sz="0" w:space="0" w:color="auto"/>
            <w:left w:val="none" w:sz="0" w:space="0" w:color="auto"/>
            <w:bottom w:val="none" w:sz="0" w:space="0" w:color="auto"/>
            <w:right w:val="none" w:sz="0" w:space="0" w:color="auto"/>
          </w:divBdr>
        </w:div>
        <w:div w:id="1650477623">
          <w:marLeft w:val="360"/>
          <w:marRight w:val="0"/>
          <w:marTop w:val="0"/>
          <w:marBottom w:val="0"/>
          <w:divBdr>
            <w:top w:val="none" w:sz="0" w:space="0" w:color="auto"/>
            <w:left w:val="none" w:sz="0" w:space="0" w:color="auto"/>
            <w:bottom w:val="none" w:sz="0" w:space="0" w:color="auto"/>
            <w:right w:val="none" w:sz="0" w:space="0" w:color="auto"/>
          </w:divBdr>
        </w:div>
        <w:div w:id="1718046588">
          <w:marLeft w:val="360"/>
          <w:marRight w:val="0"/>
          <w:marTop w:val="0"/>
          <w:marBottom w:val="0"/>
          <w:divBdr>
            <w:top w:val="none" w:sz="0" w:space="0" w:color="auto"/>
            <w:left w:val="none" w:sz="0" w:space="0" w:color="auto"/>
            <w:bottom w:val="none" w:sz="0" w:space="0" w:color="auto"/>
            <w:right w:val="none" w:sz="0" w:space="0" w:color="auto"/>
          </w:divBdr>
        </w:div>
      </w:divsChild>
    </w:div>
    <w:div w:id="432554904">
      <w:bodyDiv w:val="1"/>
      <w:marLeft w:val="0"/>
      <w:marRight w:val="0"/>
      <w:marTop w:val="0"/>
      <w:marBottom w:val="0"/>
      <w:divBdr>
        <w:top w:val="none" w:sz="0" w:space="0" w:color="auto"/>
        <w:left w:val="none" w:sz="0" w:space="0" w:color="auto"/>
        <w:bottom w:val="none" w:sz="0" w:space="0" w:color="auto"/>
        <w:right w:val="none" w:sz="0" w:space="0" w:color="auto"/>
      </w:divBdr>
    </w:div>
    <w:div w:id="484275717">
      <w:bodyDiv w:val="1"/>
      <w:marLeft w:val="0"/>
      <w:marRight w:val="0"/>
      <w:marTop w:val="0"/>
      <w:marBottom w:val="0"/>
      <w:divBdr>
        <w:top w:val="none" w:sz="0" w:space="0" w:color="auto"/>
        <w:left w:val="none" w:sz="0" w:space="0" w:color="auto"/>
        <w:bottom w:val="none" w:sz="0" w:space="0" w:color="auto"/>
        <w:right w:val="none" w:sz="0" w:space="0" w:color="auto"/>
      </w:divBdr>
    </w:div>
    <w:div w:id="730035093">
      <w:bodyDiv w:val="1"/>
      <w:marLeft w:val="0"/>
      <w:marRight w:val="0"/>
      <w:marTop w:val="0"/>
      <w:marBottom w:val="0"/>
      <w:divBdr>
        <w:top w:val="none" w:sz="0" w:space="0" w:color="auto"/>
        <w:left w:val="none" w:sz="0" w:space="0" w:color="auto"/>
        <w:bottom w:val="none" w:sz="0" w:space="0" w:color="auto"/>
        <w:right w:val="none" w:sz="0" w:space="0" w:color="auto"/>
      </w:divBdr>
    </w:div>
    <w:div w:id="801121185">
      <w:bodyDiv w:val="1"/>
      <w:marLeft w:val="0"/>
      <w:marRight w:val="0"/>
      <w:marTop w:val="0"/>
      <w:marBottom w:val="0"/>
      <w:divBdr>
        <w:top w:val="none" w:sz="0" w:space="0" w:color="auto"/>
        <w:left w:val="none" w:sz="0" w:space="0" w:color="auto"/>
        <w:bottom w:val="none" w:sz="0" w:space="0" w:color="auto"/>
        <w:right w:val="none" w:sz="0" w:space="0" w:color="auto"/>
      </w:divBdr>
    </w:div>
    <w:div w:id="958881465">
      <w:bodyDiv w:val="1"/>
      <w:marLeft w:val="0"/>
      <w:marRight w:val="0"/>
      <w:marTop w:val="0"/>
      <w:marBottom w:val="0"/>
      <w:divBdr>
        <w:top w:val="none" w:sz="0" w:space="0" w:color="auto"/>
        <w:left w:val="none" w:sz="0" w:space="0" w:color="auto"/>
        <w:bottom w:val="none" w:sz="0" w:space="0" w:color="auto"/>
        <w:right w:val="none" w:sz="0" w:space="0" w:color="auto"/>
      </w:divBdr>
    </w:div>
    <w:div w:id="982857282">
      <w:bodyDiv w:val="1"/>
      <w:marLeft w:val="0"/>
      <w:marRight w:val="0"/>
      <w:marTop w:val="0"/>
      <w:marBottom w:val="0"/>
      <w:divBdr>
        <w:top w:val="none" w:sz="0" w:space="0" w:color="auto"/>
        <w:left w:val="none" w:sz="0" w:space="0" w:color="auto"/>
        <w:bottom w:val="none" w:sz="0" w:space="0" w:color="auto"/>
        <w:right w:val="none" w:sz="0" w:space="0" w:color="auto"/>
      </w:divBdr>
    </w:div>
    <w:div w:id="1077824167">
      <w:bodyDiv w:val="1"/>
      <w:marLeft w:val="0"/>
      <w:marRight w:val="0"/>
      <w:marTop w:val="0"/>
      <w:marBottom w:val="0"/>
      <w:divBdr>
        <w:top w:val="none" w:sz="0" w:space="0" w:color="auto"/>
        <w:left w:val="none" w:sz="0" w:space="0" w:color="auto"/>
        <w:bottom w:val="none" w:sz="0" w:space="0" w:color="auto"/>
        <w:right w:val="none" w:sz="0" w:space="0" w:color="auto"/>
      </w:divBdr>
    </w:div>
    <w:div w:id="1242104970">
      <w:bodyDiv w:val="1"/>
      <w:marLeft w:val="0"/>
      <w:marRight w:val="0"/>
      <w:marTop w:val="0"/>
      <w:marBottom w:val="0"/>
      <w:divBdr>
        <w:top w:val="none" w:sz="0" w:space="0" w:color="auto"/>
        <w:left w:val="none" w:sz="0" w:space="0" w:color="auto"/>
        <w:bottom w:val="none" w:sz="0" w:space="0" w:color="auto"/>
        <w:right w:val="none" w:sz="0" w:space="0" w:color="auto"/>
      </w:divBdr>
    </w:div>
    <w:div w:id="1292394472">
      <w:bodyDiv w:val="1"/>
      <w:marLeft w:val="0"/>
      <w:marRight w:val="0"/>
      <w:marTop w:val="0"/>
      <w:marBottom w:val="0"/>
      <w:divBdr>
        <w:top w:val="none" w:sz="0" w:space="0" w:color="auto"/>
        <w:left w:val="none" w:sz="0" w:space="0" w:color="auto"/>
        <w:bottom w:val="none" w:sz="0" w:space="0" w:color="auto"/>
        <w:right w:val="none" w:sz="0" w:space="0" w:color="auto"/>
      </w:divBdr>
    </w:div>
    <w:div w:id="1293904146">
      <w:bodyDiv w:val="1"/>
      <w:marLeft w:val="0"/>
      <w:marRight w:val="0"/>
      <w:marTop w:val="0"/>
      <w:marBottom w:val="0"/>
      <w:divBdr>
        <w:top w:val="none" w:sz="0" w:space="0" w:color="auto"/>
        <w:left w:val="none" w:sz="0" w:space="0" w:color="auto"/>
        <w:bottom w:val="none" w:sz="0" w:space="0" w:color="auto"/>
        <w:right w:val="none" w:sz="0" w:space="0" w:color="auto"/>
      </w:divBdr>
    </w:div>
    <w:div w:id="1338998610">
      <w:bodyDiv w:val="1"/>
      <w:marLeft w:val="0"/>
      <w:marRight w:val="0"/>
      <w:marTop w:val="0"/>
      <w:marBottom w:val="0"/>
      <w:divBdr>
        <w:top w:val="none" w:sz="0" w:space="0" w:color="auto"/>
        <w:left w:val="none" w:sz="0" w:space="0" w:color="auto"/>
        <w:bottom w:val="none" w:sz="0" w:space="0" w:color="auto"/>
        <w:right w:val="none" w:sz="0" w:space="0" w:color="auto"/>
      </w:divBdr>
    </w:div>
    <w:div w:id="1538925927">
      <w:bodyDiv w:val="1"/>
      <w:marLeft w:val="0"/>
      <w:marRight w:val="0"/>
      <w:marTop w:val="0"/>
      <w:marBottom w:val="0"/>
      <w:divBdr>
        <w:top w:val="none" w:sz="0" w:space="0" w:color="auto"/>
        <w:left w:val="none" w:sz="0" w:space="0" w:color="auto"/>
        <w:bottom w:val="none" w:sz="0" w:space="0" w:color="auto"/>
        <w:right w:val="none" w:sz="0" w:space="0" w:color="auto"/>
      </w:divBdr>
    </w:div>
    <w:div w:id="1695111597">
      <w:bodyDiv w:val="1"/>
      <w:marLeft w:val="0"/>
      <w:marRight w:val="0"/>
      <w:marTop w:val="0"/>
      <w:marBottom w:val="0"/>
      <w:divBdr>
        <w:top w:val="none" w:sz="0" w:space="0" w:color="auto"/>
        <w:left w:val="none" w:sz="0" w:space="0" w:color="auto"/>
        <w:bottom w:val="none" w:sz="0" w:space="0" w:color="auto"/>
        <w:right w:val="none" w:sz="0" w:space="0" w:color="auto"/>
      </w:divBdr>
    </w:div>
    <w:div w:id="1843200728">
      <w:bodyDiv w:val="1"/>
      <w:marLeft w:val="0"/>
      <w:marRight w:val="0"/>
      <w:marTop w:val="0"/>
      <w:marBottom w:val="0"/>
      <w:divBdr>
        <w:top w:val="none" w:sz="0" w:space="0" w:color="auto"/>
        <w:left w:val="none" w:sz="0" w:space="0" w:color="auto"/>
        <w:bottom w:val="none" w:sz="0" w:space="0" w:color="auto"/>
        <w:right w:val="none" w:sz="0" w:space="0" w:color="auto"/>
      </w:divBdr>
    </w:div>
    <w:div w:id="1861430910">
      <w:bodyDiv w:val="1"/>
      <w:marLeft w:val="0"/>
      <w:marRight w:val="0"/>
      <w:marTop w:val="0"/>
      <w:marBottom w:val="0"/>
      <w:divBdr>
        <w:top w:val="none" w:sz="0" w:space="0" w:color="auto"/>
        <w:left w:val="none" w:sz="0" w:space="0" w:color="auto"/>
        <w:bottom w:val="none" w:sz="0" w:space="0" w:color="auto"/>
        <w:right w:val="none" w:sz="0" w:space="0" w:color="auto"/>
      </w:divBdr>
    </w:div>
    <w:div w:id="1863349875">
      <w:bodyDiv w:val="1"/>
      <w:marLeft w:val="0"/>
      <w:marRight w:val="0"/>
      <w:marTop w:val="0"/>
      <w:marBottom w:val="0"/>
      <w:divBdr>
        <w:top w:val="none" w:sz="0" w:space="0" w:color="auto"/>
        <w:left w:val="none" w:sz="0" w:space="0" w:color="auto"/>
        <w:bottom w:val="none" w:sz="0" w:space="0" w:color="auto"/>
        <w:right w:val="none" w:sz="0" w:space="0" w:color="auto"/>
      </w:divBdr>
    </w:div>
    <w:div w:id="1966695352">
      <w:bodyDiv w:val="1"/>
      <w:marLeft w:val="0"/>
      <w:marRight w:val="0"/>
      <w:marTop w:val="0"/>
      <w:marBottom w:val="0"/>
      <w:divBdr>
        <w:top w:val="none" w:sz="0" w:space="0" w:color="auto"/>
        <w:left w:val="none" w:sz="0" w:space="0" w:color="auto"/>
        <w:bottom w:val="none" w:sz="0" w:space="0" w:color="auto"/>
        <w:right w:val="none" w:sz="0" w:space="0" w:color="auto"/>
      </w:divBdr>
    </w:div>
    <w:div w:id="2045061659">
      <w:bodyDiv w:val="1"/>
      <w:marLeft w:val="0"/>
      <w:marRight w:val="0"/>
      <w:marTop w:val="0"/>
      <w:marBottom w:val="0"/>
      <w:divBdr>
        <w:top w:val="none" w:sz="0" w:space="0" w:color="auto"/>
        <w:left w:val="none" w:sz="0" w:space="0" w:color="auto"/>
        <w:bottom w:val="none" w:sz="0" w:space="0" w:color="auto"/>
        <w:right w:val="none" w:sz="0" w:space="0" w:color="auto"/>
      </w:divBdr>
    </w:div>
    <w:div w:id="2099328830">
      <w:bodyDiv w:val="1"/>
      <w:marLeft w:val="0"/>
      <w:marRight w:val="0"/>
      <w:marTop w:val="0"/>
      <w:marBottom w:val="0"/>
      <w:divBdr>
        <w:top w:val="none" w:sz="0" w:space="0" w:color="auto"/>
        <w:left w:val="none" w:sz="0" w:space="0" w:color="auto"/>
        <w:bottom w:val="none" w:sz="0" w:space="0" w:color="auto"/>
        <w:right w:val="none" w:sz="0" w:space="0" w:color="auto"/>
      </w:divBdr>
    </w:div>
    <w:div w:id="21363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dderson@sbcglobal.net" TargetMode="External"/><Relationship Id="rId13" Type="http://schemas.openxmlformats.org/officeDocument/2006/relationships/image" Target="media/image4.emf"/><Relationship Id="rId18" Type="http://schemas.openxmlformats.org/officeDocument/2006/relationships/hyperlink" Target="http://www.census.gov/hhes/www/poverty/about/datasources/description.html" TargetMode="External"/><Relationship Id="rId3" Type="http://schemas.openxmlformats.org/officeDocument/2006/relationships/styles" Target="styles.xml"/><Relationship Id="rId21" Type="http://schemas.openxmlformats.org/officeDocument/2006/relationships/hyperlink" Target="http://www.census.gov/popest/methodology/2011-nat-st-co-meth.pdf"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aspe.hhs.gov/sp/poverty/poverty.pdf"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www.census.gov/popest/data/historical/files/MRSF-01-US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www.census.gov/acs/www/guidance_for_data_users/guidance_ma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www.census.gov/popest/methodology/2011-stco-char-me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9997-A09E-4A8A-9452-C37DEBEC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2681</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Howin Song</cp:lastModifiedBy>
  <cp:revision>3</cp:revision>
  <dcterms:created xsi:type="dcterms:W3CDTF">2015-05-28T21:42:00Z</dcterms:created>
  <dcterms:modified xsi:type="dcterms:W3CDTF">2016-05-18T18:01:00Z</dcterms:modified>
</cp:coreProperties>
</file>