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Structural Report: Evaluating AI Agent Adaptation Under Token Constraints</w:t>
      </w:r>
    </w:p>
    <w:p>
      <w:pPr>
        <w:pStyle w:val="Heading1"/>
      </w:pPr>
      <w:r>
        <w:t>Draft Abstract</w:t>
      </w:r>
    </w:p>
    <w:p>
      <w:r>
        <w:t>"Efficiency vs. Quality: Evaluating AI Agent Response Optimization Under Token Constraints"</w:t>
      </w:r>
    </w:p>
    <w:p>
      <w:pPr>
        <w:pStyle w:val="Heading1"/>
      </w:pPr>
      <w:r>
        <w:t>Introduction &amp; Problem</w:t>
      </w:r>
    </w:p>
    <w:p>
      <w:r>
        <w:t>As Large Language Models (LLMs) are integrated into autonomous agents, evaluating their ability to adapt to failure and manage limited resources is critical. Traditional static tests fail to measure how an AI recovers from a mistake. This study investigated whether a token-constrained environment can be used to objectively score, sort, and filter AI agents based on the correlation between their "adaptation gain" and their overall outcome quality.</w:t>
      </w:r>
    </w:p>
    <w:p>
      <w:pPr>
        <w:pStyle w:val="Heading1"/>
      </w:pPr>
      <w:r>
        <w:t>Methodology</w:t>
      </w:r>
    </w:p>
    <w:p>
      <w:r>
        <w:t>A cohort of AI agents (using Qwen 2.5 7B) was generated with varying resource constraints (betting strategy scales) and behavioral priors. The independent variable was the differing configuration of each agent. Each agent was tested in a multi-round, zero-sum token economy evaluated by an independent objective AI Judge. Rather than just grading final answers, the system measured a dynamic metric: "Adaptation Gain"—defined as the measurable increase in judge confidence on an agent's response immediately following a lost round.</w:t>
      </w:r>
    </w:p>
    <w:p>
      <w:pPr>
        <w:pStyle w:val="Heading1"/>
      </w:pPr>
      <w:r>
        <w:t>Results</w:t>
      </w:r>
    </w:p>
    <w:p>
      <w:r>
        <w:t>The data revealed a strong correlation between an agent's Adaptation Gain and its overall viability in a resource-scarce environment. The test successfully acted as a filter separating resilient agents from stubborn ones. Agents in the bottom tier of fitness scores averaged a low Adaptation Gain (+0.007) and frequently went bankrupt (ROI -45%). In contrast, the top-tier agents that achieved high overall fitness scores demonstrated significant Adaptation Gains (averaging &gt; +0.019), proving they could successfully internalize negative feedback and output measurably better responses to secure a high ROI.</w:t>
      </w:r>
    </w:p>
    <w:p>
      <w:pPr>
        <w:pStyle w:val="Heading1"/>
      </w:pPr>
      <w:r>
        <w:t>Conclusion</w:t>
      </w:r>
    </w:p>
    <w:p>
      <w:r>
        <w:t>The results supported the hypothesis that an agent's ability to adapt dynamically correlates strongly with its overall outcome quality and resource efficiency. The token-constrained environment successfully functioned as a stress-test, filtering out agents that lacked the internal logic to correct their mistakes. These findings suggest that developers can use economic constraints and adaptation metrics as a novel evaluation framework to sort and select the most reliable AI models for autonomous systems.</w:t>
      </w:r>
    </w:p>
    <w:p>
      <w:pPr>
        <w:pStyle w:val="Heading1"/>
      </w:pPr>
      <w:r>
        <w:t>Judging Rubric (Example Approximation)</w:t>
      </w:r>
    </w:p>
    <w:p>
      <w:r>
        <w:t>Note: In the actual experiment, the AI judge outputs a continuous probability score (0.0 to 1.0) rather than discrete points. Below is the conceptual equivalent of how those signals track to argument quality in our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Criteria</w:t>
            </w:r>
          </w:p>
        </w:tc>
        <w:tc>
          <w:tcPr>
            <w:tcW w:type="dxa" w:w="2160"/>
          </w:tcPr>
          <w:p>
            <w:r>
              <w:t>High (Confidence &gt; 0.60)</w:t>
            </w:r>
          </w:p>
        </w:tc>
        <w:tc>
          <w:tcPr>
            <w:tcW w:type="dxa" w:w="2160"/>
          </w:tcPr>
          <w:p>
            <w:r>
              <w:t>Mid (Confidence ~ 0.50)</w:t>
            </w:r>
          </w:p>
        </w:tc>
        <w:tc>
          <w:tcPr>
            <w:tcW w:type="dxa" w:w="2160"/>
          </w:tcPr>
          <w:p>
            <w:r>
              <w:t>Low (Confidence &lt; 0.40)</w:t>
            </w:r>
          </w:p>
        </w:tc>
      </w:tr>
      <w:tr>
        <w:tc>
          <w:tcPr>
            <w:tcW w:type="dxa" w:w="2160"/>
          </w:tcPr>
          <w:p>
            <w:r>
              <w:t>Factual Accuracy</w:t>
            </w:r>
          </w:p>
        </w:tc>
        <w:tc>
          <w:tcPr>
            <w:tcW w:type="dxa" w:w="2160"/>
          </w:tcPr>
          <w:p>
            <w:r>
              <w:t>Evidence is flawlessly correct and nuanced.</w:t>
            </w:r>
          </w:p>
        </w:tc>
        <w:tc>
          <w:tcPr>
            <w:tcW w:type="dxa" w:w="2160"/>
          </w:tcPr>
          <w:p>
            <w:r>
              <w:t>Mostly correct; minor nuances or context dropped.</w:t>
            </w:r>
          </w:p>
        </w:tc>
        <w:tc>
          <w:tcPr>
            <w:tcW w:type="dxa" w:w="2160"/>
          </w:tcPr>
          <w:p>
            <w:r>
              <w:t>Contains clear factual or structural errors.</w:t>
            </w:r>
          </w:p>
        </w:tc>
      </w:tr>
      <w:tr>
        <w:tc>
          <w:tcPr>
            <w:tcW w:type="dxa" w:w="2160"/>
          </w:tcPr>
          <w:p>
            <w:r>
              <w:t>Strategic Completeness</w:t>
            </w:r>
          </w:p>
        </w:tc>
        <w:tc>
          <w:tcPr>
            <w:tcW w:type="dxa" w:w="2160"/>
          </w:tcPr>
          <w:p>
            <w:r>
              <w:t>Counters opponent directly and addresses the core prompt.</w:t>
            </w:r>
          </w:p>
        </w:tc>
        <w:tc>
          <w:tcPr>
            <w:tcW w:type="dxa" w:w="2160"/>
          </w:tcPr>
          <w:p>
            <w:r>
              <w:t>Addresses most parts of the prompt but misses a key counter.</w:t>
            </w:r>
          </w:p>
        </w:tc>
        <w:tc>
          <w:tcPr>
            <w:tcW w:type="dxa" w:w="2160"/>
          </w:tcPr>
          <w:p>
            <w:r>
              <w:t>Ignores the prompt or only addresses a tertiary aspect.</w:t>
            </w:r>
          </w:p>
        </w:tc>
      </w:tr>
      <w:tr>
        <w:tc>
          <w:tcPr>
            <w:tcW w:type="dxa" w:w="2160"/>
          </w:tcPr>
          <w:p>
            <w:r>
              <w:t>Conciseness &amp; Cost</w:t>
            </w:r>
          </w:p>
        </w:tc>
        <w:tc>
          <w:tcPr>
            <w:tcW w:type="dxa" w:w="2160"/>
          </w:tcPr>
          <w:p>
            <w:r>
              <w:t>No filler; budget perfectly matches response value.</w:t>
            </w:r>
          </w:p>
        </w:tc>
        <w:tc>
          <w:tcPr>
            <w:tcW w:type="dxa" w:w="2160"/>
          </w:tcPr>
          <w:p>
            <w:r>
              <w:t>Somewhat efficient, but spends tokens on exposition.</w:t>
            </w:r>
          </w:p>
        </w:tc>
        <w:tc>
          <w:tcPr>
            <w:tcW w:type="dxa" w:w="2160"/>
          </w:tcPr>
          <w:p>
            <w:r>
              <w:t>Extremely wordy, or bankrupts the agent prematurely.</w:t>
            </w:r>
          </w:p>
        </w:tc>
      </w:tr>
    </w:tbl>
    <w:p>
      <w:pPr>
        <w:pStyle w:val="Heading1"/>
      </w:pPr>
      <w:r>
        <w:t>Sample Data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Trial #</w:t>
            </w:r>
          </w:p>
        </w:tc>
        <w:tc>
          <w:tcPr>
            <w:tcW w:type="dxa" w:w="1728"/>
          </w:tcPr>
          <w:p>
            <w:r>
              <w:t>Agent Cohort</w:t>
            </w:r>
          </w:p>
        </w:tc>
        <w:tc>
          <w:tcPr>
            <w:tcW w:type="dxa" w:w="1728"/>
          </w:tcPr>
          <w:p>
            <w:r>
              <w:t>Fitness Score</w:t>
            </w:r>
          </w:p>
        </w:tc>
        <w:tc>
          <w:tcPr>
            <w:tcW w:type="dxa" w:w="1728"/>
          </w:tcPr>
          <w:p>
            <w:r>
              <w:t>ROI Strategy Edge</w:t>
            </w:r>
          </w:p>
        </w:tc>
        <w:tc>
          <w:tcPr>
            <w:tcW w:type="dxa" w:w="1728"/>
          </w:tcPr>
          <w:p>
            <w:r>
              <w:t>Adaptation Gain (Learning Metric)</w:t>
            </w:r>
          </w:p>
        </w:tc>
      </w:tr>
      <w:tr>
        <w:tc>
          <w:tcPr>
            <w:tcW w:type="dxa" w:w="1728"/>
          </w:tcPr>
          <w:p>
            <w:r>
              <w:t>1</w:t>
            </w:r>
          </w:p>
        </w:tc>
        <w:tc>
          <w:tcPr>
            <w:tcW w:type="dxa" w:w="1728"/>
          </w:tcPr>
          <w:p>
            <w:r>
              <w:t>Agent A (High Adapt)</w:t>
            </w:r>
          </w:p>
        </w:tc>
        <w:tc>
          <w:tcPr>
            <w:tcW w:type="dxa" w:w="1728"/>
          </w:tcPr>
          <w:p>
            <w:r>
              <w:t>68.6%</w:t>
            </w:r>
          </w:p>
        </w:tc>
        <w:tc>
          <w:tcPr>
            <w:tcW w:type="dxa" w:w="1728"/>
          </w:tcPr>
          <w:p>
            <w:r>
              <w:t>+51.6 tokens</w:t>
            </w:r>
          </w:p>
        </w:tc>
        <w:tc>
          <w:tcPr>
            <w:tcW w:type="dxa" w:w="1728"/>
          </w:tcPr>
          <w:p>
            <w:r>
              <w:t>+0.0203</w:t>
            </w:r>
          </w:p>
        </w:tc>
      </w:tr>
      <w:tr>
        <w:tc>
          <w:tcPr>
            <w:tcW w:type="dxa" w:w="1728"/>
          </w:tcPr>
          <w:p>
            <w:r>
              <w:t>2</w:t>
            </w:r>
          </w:p>
        </w:tc>
        <w:tc>
          <w:tcPr>
            <w:tcW w:type="dxa" w:w="1728"/>
          </w:tcPr>
          <w:p>
            <w:r>
              <w:t>Agent B (Baseline)</w:t>
            </w:r>
          </w:p>
        </w:tc>
        <w:tc>
          <w:tcPr>
            <w:tcW w:type="dxa" w:w="1728"/>
          </w:tcPr>
          <w:p>
            <w:r>
              <w:t>64.5%</w:t>
            </w:r>
          </w:p>
        </w:tc>
        <w:tc>
          <w:tcPr>
            <w:tcW w:type="dxa" w:w="1728"/>
          </w:tcPr>
          <w:p>
            <w:r>
              <w:t>+8.9 tokens</w:t>
            </w:r>
          </w:p>
        </w:tc>
        <w:tc>
          <w:tcPr>
            <w:tcW w:type="dxa" w:w="1728"/>
          </w:tcPr>
          <w:p>
            <w:r>
              <w:t>+0.0236</w:t>
            </w:r>
          </w:p>
        </w:tc>
      </w:tr>
      <w:tr>
        <w:tc>
          <w:tcPr>
            <w:tcW w:type="dxa" w:w="1728"/>
          </w:tcPr>
          <w:p>
            <w:r>
              <w:t>3</w:t>
            </w:r>
          </w:p>
        </w:tc>
        <w:tc>
          <w:tcPr>
            <w:tcW w:type="dxa" w:w="1728"/>
          </w:tcPr>
          <w:p>
            <w:r>
              <w:t>Agent C (Stubborn)</w:t>
            </w:r>
          </w:p>
        </w:tc>
        <w:tc>
          <w:tcPr>
            <w:tcW w:type="dxa" w:w="1728"/>
          </w:tcPr>
          <w:p>
            <w:r>
              <w:t>36.4%</w:t>
            </w:r>
          </w:p>
        </w:tc>
        <w:tc>
          <w:tcPr>
            <w:tcW w:type="dxa" w:w="1728"/>
          </w:tcPr>
          <w:p>
            <w:r>
              <w:t>-52.8 tokens</w:t>
            </w:r>
          </w:p>
        </w:tc>
        <w:tc>
          <w:tcPr>
            <w:tcW w:type="dxa" w:w="1728"/>
          </w:tcPr>
          <w:p>
            <w:r>
              <w:t>+0.0010</w:t>
            </w:r>
          </w:p>
        </w:tc>
      </w:tr>
      <w:tr>
        <w:tc>
          <w:tcPr>
            <w:tcW w:type="dxa" w:w="1728"/>
          </w:tcPr>
          <w:p>
            <w:r>
              <w:t>4</w:t>
            </w:r>
          </w:p>
        </w:tc>
        <w:tc>
          <w:tcPr>
            <w:tcW w:type="dxa" w:w="1728"/>
          </w:tcPr>
          <w:p>
            <w:r>
              <w:t>Agent D (Stubborn)</w:t>
            </w:r>
          </w:p>
        </w:tc>
        <w:tc>
          <w:tcPr>
            <w:tcW w:type="dxa" w:w="1728"/>
          </w:tcPr>
          <w:p>
            <w:r>
              <w:t>34.9%</w:t>
            </w:r>
          </w:p>
        </w:tc>
        <w:tc>
          <w:tcPr>
            <w:tcW w:type="dxa" w:w="1728"/>
          </w:tcPr>
          <w:p>
            <w:r>
              <w:t>-56.5 tokens</w:t>
            </w:r>
          </w:p>
        </w:tc>
        <w:tc>
          <w:tcPr>
            <w:tcW w:type="dxa" w:w="1728"/>
          </w:tcPr>
          <w:p>
            <w:r>
              <w:t>+0.0115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