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2705"/>
        <w:gridCol w:w="398"/>
        <w:gridCol w:w="1856"/>
        <w:gridCol w:w="419"/>
        <w:gridCol w:w="833"/>
      </w:tblGrid>
      <w:tr>
        <w:trPr>
          <w:trHeight w:val="415" w:hRule="atLeast"/>
        </w:trPr>
        <w:tc>
          <w:tcPr>
            <w:tcW w:w="3118" w:type="dxa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/>
            <w:shd w:color="auto" w:fill="F3F3F3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Conçu pour : Psyc’Analytics</w:t>
            </w:r>
          </w:p>
        </w:tc>
        <w:tc>
          <w:tcPr>
            <w:tcW w:w="3103" w:type="dxa"/>
            <w:gridSpan w:val="2"/>
            <w:tcBorders/>
            <w:shd w:color="auto" w:fill="F3F3F3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51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Conçu par : Psyc’Analytics</w:t>
            </w:r>
          </w:p>
        </w:tc>
        <w:tc>
          <w:tcPr>
            <w:tcW w:w="2275" w:type="dxa"/>
            <w:gridSpan w:val="2"/>
            <w:tcBorders/>
            <w:shd w:color="auto" w:fill="F3F3F3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80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Date: 19/11/2022</w:t>
            </w:r>
          </w:p>
        </w:tc>
        <w:tc>
          <w:tcPr>
            <w:tcW w:w="833" w:type="dxa"/>
            <w:tcBorders/>
            <w:shd w:color="auto" w:fill="F3F3F3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08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La dernière version: 1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/>
                <w:b/>
                <w:kern w:val="0"/>
                <w:sz w:val="36"/>
                <w:szCs w:val="24"/>
                <w:lang w:val="fr-FR" w:eastAsia="en-US" w:bidi="ar-SA"/>
              </w:rPr>
              <w:t>Business Model Canvas</w:t>
            </w:r>
          </w:p>
        </w:tc>
        <w:tc>
          <w:tcPr>
            <w:tcW w:w="2731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gridSpan w:val="2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5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8" w:type="dxa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9" w:type="dxa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3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8" w:type="dxa"/>
            <w:gridSpan w:val="3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Partenaires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clés</w:t>
            </w:r>
          </w:p>
        </w:tc>
        <w:tc>
          <w:tcPr>
            <w:tcW w:w="3119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Principales activités</w:t>
            </w:r>
          </w:p>
        </w:tc>
        <w:tc>
          <w:tcPr>
            <w:tcW w:w="3090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Propositions de valeur</w:t>
            </w:r>
          </w:p>
        </w:tc>
        <w:tc>
          <w:tcPr>
            <w:tcW w:w="3109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Relations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 xml:space="preserve">avec la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clientèle</w:t>
            </w:r>
          </w:p>
        </w:tc>
        <w:tc>
          <w:tcPr>
            <w:tcW w:w="3108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Segments de clientèle</w:t>
            </w:r>
          </w:p>
        </w:tc>
      </w:tr>
      <w:tr>
        <w:trPr>
          <w:trHeight w:val="2677" w:hRule="atLeast"/>
        </w:trPr>
        <w:tc>
          <w:tcPr>
            <w:tcW w:w="3118" w:type="dxa"/>
            <w:vMerge w:val="restart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Médecins généralistes + Urgentistes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Psychologues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Psychiatres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Universitée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Labo universitaire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Etat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-Ministère Santé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-Ministère des Nouvelles     Technologies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 w:themeColor="text1"/>
                <w:sz w:val="32"/>
                <w:szCs w:val="32"/>
                <w:lang w:val="fr-FR"/>
              </w:rPr>
            </w:pPr>
            <w:r>
              <w:rPr>
                <w:color w:val="000000" w:themeColor="text1"/>
                <w:sz w:val="32"/>
                <w:szCs w:val="32"/>
                <w:lang w:val="fr-FR"/>
              </w:rPr>
            </w:r>
          </w:p>
        </w:tc>
        <w:tc>
          <w:tcPr>
            <w:tcW w:w="3119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Aide au diagnostique via utilisation d’IA</w:t>
            </w:r>
          </w:p>
        </w:tc>
        <w:tc>
          <w:tcPr>
            <w:tcW w:w="3096" w:type="dxa"/>
            <w:gridSpan w:val="4"/>
            <w:vMerge w:val="restart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Capacité quotidienne de patients augmentés et le diagnostic final est plus rapidement obtenue</w:t>
            </w:r>
          </w:p>
        </w:tc>
        <w:tc>
          <w:tcPr>
            <w:tcW w:w="3103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LinkedIn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 xml:space="preserve">Twiter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SAV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Shade="80"/>
                <w:kern w:val="0"/>
                <w:sz w:val="32"/>
                <w:szCs w:val="32"/>
                <w:lang w:val="en-GB" w:eastAsia="en-US" w:bidi="ar-SA"/>
              </w:rPr>
              <w:t>Recherche</w:t>
            </w:r>
          </w:p>
        </w:tc>
        <w:tc>
          <w:tcPr>
            <w:tcW w:w="3108" w:type="dxa"/>
            <w:gridSpan w:val="3"/>
            <w:vMerge w:val="restart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 xml:space="preserve">Hôpitaux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C.H.U.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Clinique</w:t>
            </w:r>
          </w:p>
        </w:tc>
      </w:tr>
      <w:tr>
        <w:trPr>
          <w:trHeight w:val="264" w:hRule="atLeast"/>
        </w:trPr>
        <w:tc>
          <w:tcPr>
            <w:tcW w:w="3118" w:type="dxa"/>
            <w:vMerge w:val="continue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 xml:space="preserve">Ressources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clés</w:t>
            </w:r>
          </w:p>
        </w:tc>
        <w:tc>
          <w:tcPr>
            <w:tcW w:w="3096" w:type="dxa"/>
            <w:gridSpan w:val="4"/>
            <w:vMerge w:val="continue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</w:tc>
        <w:tc>
          <w:tcPr>
            <w:tcW w:w="3103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Canaux</w:t>
            </w:r>
          </w:p>
        </w:tc>
        <w:tc>
          <w:tcPr>
            <w:tcW w:w="3108" w:type="dxa"/>
            <w:gridSpan w:val="3"/>
            <w:vMerge w:val="continue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056" w:hRule="atLeast"/>
        </w:trPr>
        <w:tc>
          <w:tcPr>
            <w:tcW w:w="3118" w:type="dxa"/>
            <w:vMerge w:val="continue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Hébergeur des datas bases, Psychiatres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Shade="80"/>
                <w:kern w:val="0"/>
                <w:sz w:val="32"/>
                <w:szCs w:val="32"/>
                <w:lang w:val="fr-FR" w:eastAsia="en-US" w:bidi="ar-SA"/>
              </w:rPr>
              <w:t>Universitaires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808080" w:themeColor="background1" w:themeShade="80"/>
                <w:kern w:val="0"/>
                <w:sz w:val="32"/>
                <w:szCs w:val="32"/>
                <w:lang w:val="en-GB" w:eastAsia="en-US" w:bidi="ar-SA"/>
              </w:rPr>
              <w:t xml:space="preserve"> </w:t>
            </w:r>
          </w:p>
        </w:tc>
        <w:tc>
          <w:tcPr>
            <w:tcW w:w="3096" w:type="dxa"/>
            <w:gridSpan w:val="4"/>
            <w:vMerge w:val="continue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 xml:space="preserve">Revues scientifiques et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Salons et conférences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Réseaux Sociaux</w:t>
            </w:r>
          </w:p>
        </w:tc>
        <w:tc>
          <w:tcPr>
            <w:tcW w:w="3108" w:type="dxa"/>
            <w:gridSpan w:val="3"/>
            <w:vMerge w:val="continue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Structure des coûts</w:t>
            </w:r>
          </w:p>
        </w:tc>
        <w:tc>
          <w:tcPr>
            <w:tcW w:w="7809" w:type="dxa"/>
            <w:gridSpan w:val="8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sz w:val="36"/>
                <w:szCs w:val="36"/>
              </w:rPr>
            </w:pP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b/>
                <w:color w:val="FF0000"/>
                <w:kern w:val="0"/>
                <w:sz w:val="36"/>
                <w:szCs w:val="36"/>
                <w:lang w:val="fr-FR" w:eastAsia="en-US" w:bidi="ar-SA"/>
              </w:rPr>
              <w:t>Flux de revenus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Location chez claranet de serveur  : prix ?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 xml:space="preserve">Cout mensuelle: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- developeur : 4000 * x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 xml:space="preserve">- transport + mutuelle : 65 * x * x1 * x2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- support : 3500 * x1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- marketing : 3500 * x2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 xml:space="preserve">- locaux : 250 * bureaux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color w:val="000000" w:themeColor="text1"/>
                <w:sz w:val="32"/>
                <w:szCs w:val="32"/>
                <w:lang w:val="fr-FR"/>
              </w:rPr>
            </w:pPr>
            <w:r>
              <w:rPr>
                <w:color w:val="000000" w:themeColor="text1"/>
                <w:sz w:val="32"/>
                <w:szCs w:val="32"/>
                <w:lang w:val="fr-FR"/>
              </w:rPr>
            </w:r>
          </w:p>
        </w:tc>
        <w:tc>
          <w:tcPr>
            <w:tcW w:w="7809" w:type="dxa"/>
            <w:gridSpan w:val="8"/>
            <w:tcBorders/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 xml:space="preserve">5-10% consultations + PB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>3-4% consultations + PB (aide au developpement 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sz w:val="32"/>
                <w:szCs w:val="32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fr-FR" w:eastAsia="en-US" w:bidi="ar-SA"/>
              </w:rPr>
              <w:t xml:space="preserve">PB = Prix de Base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rFonts w:ascii="Arial" w:hAnsi="Arial" w:eastAsia="ＭＳ 明朝" w:cs=""/>
                <w:color w:val="000000" w:themeColor="text1"/>
                <w:kern w:val="0"/>
                <w:sz w:val="32"/>
                <w:szCs w:val="32"/>
                <w:lang w:val="en-GB" w:eastAsia="en-US" w:bidi="ar-SA"/>
              </w:rPr>
            </w:pPr>
            <w:r>
              <w:rPr>
                <w:rFonts w:eastAsia="ＭＳ 明朝" w:cs="" w:ascii="Arial" w:hAnsi="Arial"/>
                <w:color w:val="000000" w:themeColor="text1"/>
                <w:kern w:val="0"/>
                <w:sz w:val="32"/>
                <w:szCs w:val="32"/>
                <w:lang w:val="en-GB" w:eastAsia="en-US" w:bidi="ar-SA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/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>Conçu par: The Business Model Foundry (</w:t>
            </w:r>
            <w:hyperlink r:id="rId2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>www.businessmodelgeneration.com/canvas</w:t>
              </w:r>
            </w:hyperlink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 xml:space="preserve">). </w:t>
            </w:r>
            <w:r>
              <w:rPr>
                <w:rFonts w:eastAsia="ＭＳ 明朝" w:cs="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 xml:space="preserve"> Implémentation Word par: Neos Chronos Limited (</w:t>
            </w:r>
            <w:hyperlink r:id="rId3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>https://neoschronos.com</w:t>
              </w:r>
            </w:hyperlink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>). Licence:</w:t>
            </w:r>
            <w:hyperlink r:id="rId4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 xml:space="preserve"> CC BY-SA 3.0</w:t>
              </w:r>
            </w:hyperlink>
          </w:p>
        </w:tc>
      </w:tr>
    </w:tbl>
    <w:p>
      <w:pPr>
        <w:pStyle w:val="Normal"/>
        <w:ind w:right="-944" w:hanging="0"/>
        <w:rPr/>
      </w:pPr>
      <w:r>
        <w:rPr/>
      </w:r>
    </w:p>
    <w:tbl>
      <w:tblPr>
        <w:tblStyle w:val="Grilledutableau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2705"/>
        <w:gridCol w:w="398"/>
        <w:gridCol w:w="1856"/>
        <w:gridCol w:w="419"/>
        <w:gridCol w:w="833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Conçu pour 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51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Conçu par:</w:t>
            </w:r>
          </w:p>
        </w:tc>
        <w:tc>
          <w:tcPr>
            <w:tcW w:w="227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80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Date:</w:t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108" w:right="-944" w:hanging="0"/>
              <w:jc w:val="lef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eastAsia="ＭＳ 明朝" w:cs=""/>
                <w:i/>
                <w:kern w:val="0"/>
                <w:sz w:val="18"/>
                <w:szCs w:val="24"/>
                <w:lang w:val="fr-FR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/>
                <w:b/>
                <w:kern w:val="0"/>
                <w:sz w:val="36"/>
                <w:szCs w:val="24"/>
                <w:lang w:val="fr-FR" w:eastAsia="en-US" w:bidi="ar-SA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3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Partenaires clés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Principales activités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Propositions de valeur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Relations avec la clientèle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Segments de clientèle</w:t>
            </w:r>
          </w:p>
        </w:tc>
      </w:tr>
      <w:tr>
        <w:trPr>
          <w:trHeight w:val="2677" w:hRule="atLeast"/>
        </w:trPr>
        <w:tc>
          <w:tcPr>
            <w:tcW w:w="3118" w:type="dxa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 xml:space="preserve"> 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</w:r>
          </w:p>
        </w:tc>
        <w:tc>
          <w:tcPr>
            <w:tcW w:w="3108" w:type="dxa"/>
            <w:gridSpan w:val="3"/>
            <w:vMerge w:val="restart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4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Ressources clés</w:t>
            </w:r>
          </w:p>
        </w:tc>
        <w:tc>
          <w:tcPr>
            <w:tcW w:w="3096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Canaux</w:t>
            </w:r>
          </w:p>
        </w:tc>
        <w:tc>
          <w:tcPr>
            <w:tcW w:w="3108" w:type="dxa"/>
            <w:gridSpan w:val="3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822" w:hRule="atLeast"/>
        </w:trPr>
        <w:tc>
          <w:tcPr>
            <w:tcW w:w="3118" w:type="dxa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</w:r>
          </w:p>
        </w:tc>
        <w:tc>
          <w:tcPr>
            <w:tcW w:w="3096" w:type="dxa"/>
            <w:gridSpan w:val="4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0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</w:r>
          </w:p>
        </w:tc>
        <w:tc>
          <w:tcPr>
            <w:tcW w:w="3108" w:type="dxa"/>
            <w:gridSpan w:val="3"/>
            <w:vMerge w:val="continue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b/>
                <w:kern w:val="0"/>
                <w:sz w:val="22"/>
                <w:szCs w:val="24"/>
                <w:lang w:val="fr-FR" w:eastAsia="en-US" w:bidi="ar-SA"/>
              </w:rPr>
              <w:t>Structure des coûts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b/>
                <w:b/>
                <w:sz w:val="22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24"/>
                <w:szCs w:val="24"/>
                <w:lang w:val="fr-FR" w:eastAsia="en-US" w:bidi="ar-SA"/>
              </w:rPr>
              <w:t>Flux de revenus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32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8" w:hanging="0"/>
              <w:jc w:val="left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44" w:hanging="0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>Conçu par: The Business Model Foundry (</w:t>
            </w:r>
            <w:hyperlink r:id="rId5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>www.businessmodelgeneration.com/canvas</w:t>
              </w:r>
            </w:hyperlink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 xml:space="preserve">). </w:t>
            </w:r>
            <w:r>
              <w:rPr>
                <w:rFonts w:eastAsia="ＭＳ 明朝" w:cs="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 xml:space="preserve"> Implémentation Word par: Neos Chronos Limited (</w:t>
            </w:r>
            <w:hyperlink r:id="rId6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>https://neoschronos.com</w:t>
              </w:r>
            </w:hyperlink>
            <w:r>
              <w:rPr>
                <w:rFonts w:eastAsia="ＭＳ 明朝" w:cs=""/>
                <w:kern w:val="0"/>
                <w:sz w:val="16"/>
                <w:szCs w:val="24"/>
                <w:lang w:val="fr-FR" w:eastAsia="en-US" w:bidi="ar-SA"/>
              </w:rPr>
              <w:t>). Licence:</w:t>
            </w:r>
            <w:hyperlink r:id="rId7">
              <w:r>
                <w:rPr>
                  <w:rStyle w:val="InternetLink"/>
                  <w:rFonts w:eastAsia="ＭＳ 明朝" w:cs=""/>
                  <w:kern w:val="0"/>
                  <w:sz w:val="16"/>
                  <w:szCs w:val="24"/>
                  <w:lang w:val="fr-FR" w:eastAsia="en-US" w:bidi="ar-SA"/>
                </w:rPr>
                <w:t xml:space="preserve"> CC BY-SA 3.0</w:t>
              </w:r>
            </w:hyperlink>
          </w:p>
        </w:tc>
      </w:tr>
    </w:tbl>
    <w:p>
      <w:pPr>
        <w:pStyle w:val="Normal"/>
        <w:ind w:right="-944" w:hanging="0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20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" o:spid="shape_0" fillcolor="silver" stroked="f" o:allowincell="f" style="position:absolute;margin-left:0.05pt;margin-top:0pt;width:773pt;height:40.0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Business Model Canvas Word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87020" cy="15875"/>
              <wp:effectExtent l="4765675" t="3164840" r="0" b="0"/>
              <wp:wrapNone/>
              <wp:docPr id="2" name="PowerPlusWaterMarkObjec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920" cy="15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2"/>
                              <w:rFonts w:ascii="Cambria" w:hAnsi="Cambria" w:asciiTheme="minorHAnsi" w:cstheme="minorBidi" w:hAnsiTheme="minorHAnsi"/>
                            </w:rPr>
                            <w:t>Neos Chronos Business Model Canvas Word</w:t>
                          </w:r>
                        </w:p>
                      </w:txbxContent>
                    </wps:txbx>
                    <wps:bodyPr wrap="none" lIns="0" rIns="0" tIns="0" bIns="0" anchor="ctr">
                      <a:prstTxWarp prst="textPlain"/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87020" cy="15875"/>
              <wp:effectExtent l="4765675" t="3164840" r="0" b="0"/>
              <wp:wrapNone/>
              <wp:docPr id="3" name="PowerPlusWaterMarkObject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920" cy="15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2"/>
                              <w:rFonts w:ascii="Cambria" w:hAnsi="Cambria" w:asciiTheme="minorHAnsi" w:cstheme="minorBidi" w:hAnsiTheme="minorHAnsi"/>
                            </w:rPr>
                            <w:t>Neos Chronos Business Model Canvas Word</w:t>
                          </w:r>
                        </w:p>
                      </w:txbxContent>
                    </wps:txbx>
                    <wps:bodyPr wrap="none" lIns="0" rIns="0" tIns="0" bIns="0" anchor="ctr">
                      <a:prstTxWarp prst="textPlain"/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Header"/>
    <w:uiPriority w:val="99"/>
    <w:qFormat/>
    <w:rsid w:val="00000413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000413"/>
    <w:rPr/>
  </w:style>
  <w:style w:type="character" w:styleId="PlaceholderText">
    <w:name w:val="Placeholder Text"/>
    <w:basedOn w:val="DefaultParagraphFont"/>
    <w:uiPriority w:val="99"/>
    <w:semiHidden/>
    <w:qFormat/>
    <w:rsid w:val="00eb19f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LibreOffice/7.3.6.2$Linux_X86_64 LibreOffice_project/30$Build-2</Application>
  <HyperlinkBase>https://neoschronos.com/assets/</HyperlinkBase>
  <AppVersion>15.0000</AppVersion>
  <Pages>3</Pages>
  <Words>229</Words>
  <Characters>1390</Characters>
  <CharactersWithSpaces>1611</CharactersWithSpaces>
  <Paragraphs>68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Modèle DOC Word</cp:category>
  <dcterms:created xsi:type="dcterms:W3CDTF">2019-05-23T08:39:00Z</dcterms:created>
  <dc:creator>Thomas Papanikolaou</dc:creator>
  <dc:description>The Business Model Canvas (www.businessmodelgeneration.com/canvas) par Alex Osterwalder. Cette œuvre est sous licence Creative Commons Attribution-Share Alike 3.0 Unported License.</dc:description>
  <cp:keywords>Business Model Canvas Free Template Word docx</cp:keywords>
  <dc:language>en-US</dc:language>
  <cp:lastModifiedBy/>
  <cp:lastPrinted>2019-05-23T09:25:00Z</cp:lastPrinted>
  <dcterms:modified xsi:type="dcterms:W3CDTF">2022-11-20T09:26:04Z</dcterms:modified>
  <cp:revision>10</cp:revision>
  <dc:subject/>
  <dc:title>Modèle d’entreprise Modèle de canevas Word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Publisher">
    <vt:lpwstr>Neos Chronos</vt:lpwstr>
  </property>
  <property fmtid="{D5CDD505-2E9C-101B-9397-08002B2CF9AE}" pid="4" name="Purpose">
    <vt:lpwstr>Business Model Canvas Word Template</vt:lpwstr>
  </property>
</Properties>
</file>