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hd w:val="clear" w:color="auto" w:fill="FFFFFF" w:themeFill="background1"/>
        <w:spacing w:before="40" w:after="0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00000A"/>
          <w:sz w:val="28"/>
          <w:szCs w:val="28"/>
        </w:rPr>
      </w:pPr>
      <w:r>
        <w:rPr>
          <w:rFonts w:eastAsia="Calibri" w:cs="Calibri" w:ascii="Calibri" w:hAnsi="Calibri" w:asciiTheme="minorAscii" w:cstheme="minorAscii" w:eastAsiaTheme="minorAscii" w:hAnsiTheme="minorAscii"/>
          <w:b/>
          <w:bCs/>
          <w:color w:val="00000A"/>
          <w:sz w:val="28"/>
          <w:szCs w:val="28"/>
        </w:rPr>
        <w:t>Data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Source_data_Fig_1</w:t>
      </w:r>
      <w:r>
        <w:rPr>
          <w:b/>
          <w:bCs/>
        </w:rPr>
        <w:t>.xlsx</w:t>
      </w:r>
      <w:r>
        <w:rPr>
          <w:b w:val="false"/>
          <w:bCs w:val="false"/>
        </w:rPr>
        <w:t xml:space="preserve"> - source data for Fig 1</w:t>
      </w:r>
      <w:r>
        <w:rPr>
          <w:b w:val="false"/>
          <w:bCs w:val="false"/>
        </w:rPr>
        <w:t>D-F</w:t>
      </w:r>
      <w:r>
        <w:rPr>
          <w:b w:val="false"/>
          <w:bCs w:val="false"/>
        </w:rPr>
        <w:t xml:space="preserve"> and Fig S1</w:t>
      </w:r>
    </w:p>
    <w:p>
      <w:pPr>
        <w:pStyle w:val="Normal"/>
        <w:rPr/>
      </w:pPr>
      <w:r>
        <w:rPr>
          <w:b/>
          <w:bCs/>
        </w:rPr>
        <w:t>Source_data_Fig_2</w:t>
      </w:r>
      <w:r>
        <w:rPr>
          <w:b/>
          <w:bCs/>
        </w:rPr>
        <w:t>.xlsx</w:t>
      </w:r>
      <w:r>
        <w:rPr>
          <w:b w:val="false"/>
          <w:bCs w:val="false"/>
        </w:rPr>
        <w:t xml:space="preserve"> - source data for Fig </w:t>
      </w:r>
      <w:r>
        <w:rPr>
          <w:b w:val="false"/>
          <w:bCs w:val="false"/>
        </w:rPr>
        <w:t>2B-C</w:t>
      </w:r>
    </w:p>
    <w:p>
      <w:pPr>
        <w:pStyle w:val="Normal"/>
        <w:rPr/>
      </w:pPr>
      <w:r>
        <w:rPr>
          <w:b/>
          <w:bCs/>
        </w:rPr>
        <w:t>Source_data_Fig_4</w:t>
      </w:r>
      <w:r>
        <w:rPr>
          <w:b/>
          <w:bCs/>
        </w:rPr>
        <w:t>.xlsx</w:t>
      </w:r>
      <w:r>
        <w:rPr>
          <w:b w:val="false"/>
          <w:bCs w:val="false"/>
        </w:rPr>
        <w:t xml:space="preserve"> - source data for Fig </w:t>
      </w:r>
      <w:r>
        <w:rPr>
          <w:b w:val="false"/>
          <w:bCs w:val="false"/>
        </w:rPr>
        <w:t>4A</w:t>
      </w:r>
    </w:p>
    <w:p>
      <w:pPr>
        <w:pStyle w:val="Normal"/>
        <w:rPr/>
      </w:pPr>
      <w:r>
        <w:rPr>
          <w:b/>
          <w:bCs/>
        </w:rPr>
        <w:t>Source_data_Fig_5</w:t>
      </w:r>
      <w:r>
        <w:rPr>
          <w:b/>
          <w:bCs/>
        </w:rPr>
        <w:t>.xlsx</w:t>
      </w:r>
      <w:r>
        <w:rPr>
          <w:b w:val="false"/>
          <w:bCs w:val="false"/>
        </w:rPr>
        <w:t xml:space="preserve"> - source data for Fig </w:t>
      </w:r>
      <w:r>
        <w:rPr>
          <w:b w:val="false"/>
          <w:bCs w:val="false"/>
        </w:rPr>
        <w:t>5B</w:t>
      </w:r>
    </w:p>
    <w:p>
      <w:pPr>
        <w:pStyle w:val="Normal"/>
        <w:rPr/>
      </w:pPr>
      <w:r>
        <w:rPr>
          <w:b/>
          <w:bCs/>
        </w:rPr>
        <w:t>Source_data_Fig_6</w:t>
      </w:r>
      <w:r>
        <w:rPr>
          <w:b/>
          <w:bCs/>
        </w:rPr>
        <w:t>.xlsx</w:t>
      </w:r>
      <w:r>
        <w:rPr>
          <w:b w:val="false"/>
          <w:bCs w:val="false"/>
        </w:rPr>
        <w:t xml:space="preserve"> - source data for Fig </w:t>
      </w:r>
      <w:r>
        <w:rPr>
          <w:b w:val="false"/>
          <w:bCs w:val="false"/>
        </w:rPr>
        <w:t>6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Linear Mixed Modeling</w:t>
      </w:r>
      <w:r>
        <w:rPr>
          <w:b w:val="false"/>
          <w:bCs w:val="false"/>
        </w:rPr>
        <w:t xml:space="preserve"> – unthresholded statistical maps for prestimulus activity’s effects on SDT behavioral metrics, respectively (Fig 2, Fig S2, Fig S3).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 xml:space="preserve">Linear Mixed Modeling/sub* </w:t>
      </w:r>
      <w:r>
        <w:rPr>
          <w:b w:val="false"/>
          <w:bCs w:val="false"/>
        </w:rPr>
        <w:t>contains 4-dim brain volumes, wherein each voxel value indicates an SDT behavioral metric calculated from one of the five trial groups based on prestimulus activity (Fig 2</w:t>
      </w:r>
      <w:r>
        <w:rPr>
          <w:b w:val="false"/>
          <w:bCs w:val="false"/>
        </w:rPr>
        <w:t xml:space="preserve">B-C </w:t>
      </w:r>
      <w:r>
        <w:rPr>
          <w:b w:val="false"/>
          <w:bCs w:val="false"/>
        </w:rPr>
        <w:t>, Fig S2, Fig S3)</w:t>
      </w:r>
    </w:p>
    <w:p>
      <w:pPr>
        <w:pStyle w:val="Normal"/>
        <w:rPr/>
      </w:pPr>
      <w:r>
        <w:rPr>
          <w:b/>
          <w:bCs/>
        </w:rPr>
        <w:t>Trial-to-trial Variability</w:t>
      </w:r>
      <w:r>
        <w:rPr>
          <w:b w:val="false"/>
          <w:bCs w:val="false"/>
        </w:rPr>
        <w:t xml:space="preserve"> - unthresholded statistical maps for trail-to-trial variability at different time points conditioned by the magnitude of prestimulus activity in specific ROIs, respectively (Fig 3, Fig S4).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Searchlight Category Decoding</w:t>
      </w:r>
      <w:r>
        <w:rPr>
          <w:b w:val="false"/>
          <w:bCs w:val="false"/>
        </w:rPr>
        <w:t xml:space="preserve"> -  unthresholded statistical maps for decoding accuracy conditioned by the magnitude of prestimulus activity in specific ROIs, respectively (Fig 5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).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Evoked Response – </w:t>
      </w:r>
      <w:r>
        <w:rPr>
          <w:b w:val="false"/>
          <w:bCs w:val="false"/>
        </w:rPr>
        <w:t>unthresholded statistical maps for evoked response conditioned by the magnitude of prestimulus activity in specific ROIs, respectively (Fig S5).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LibreOffice/5.3.6.1$Linux_X86_64 LibreOffice_project/30$Build-1</Application>
  <Pages>1</Pages>
  <Words>168</Words>
  <Characters>1035</Characters>
  <CharactersWithSpaces>1198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2023-11-26T19:31:27Z</dcterms:created>
  <dc:creator>Wu, Yuan Hao</dc:creator>
  <dc:description/>
  <dc:language>en-US</dc:language>
  <cp:lastModifiedBy/>
  <dcterms:modified xsi:type="dcterms:W3CDTF">2024-03-04T19:57:36Z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