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>TW (886) 0911-839712</w:t>
      </w:r>
      <w:r>
        <w:rPr>
          <w:rFonts w:ascii="Times New Roman" w:hAnsi="Times New Roman"/>
          <w:rtl w:val="0"/>
          <w:lang w:val="en-US"/>
        </w:rPr>
        <w:t xml:space="preserve"> , IRE (83) xxx-xxxx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655(communicable)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2016-06-27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Full-Stack engineer, most work in back-end and experience in web app , game development, analysis , CI, CD.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familiar with scripting languages, including bash, Go and C++ on Linux(Ubuntu) and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Continue to practice practical algorithms and data structures. And I met a large-scale system design in last company. 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Language: Go, C++, Javascript (AngularJS ReactJS jQuery CreateJS), PHP, Perl, Lua, HTML5, CSS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 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>), few Scala (Play) and Java now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Server: Linux,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, Kubernetes, Docker, GitHub, Jenkins, Ansible, Apache HTTP, MySQL, PostgreSQL, Mongo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OOAD,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47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07/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service platform( similar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 architecture, including </w:t>
      </w:r>
      <w:r>
        <w:rPr>
          <w:rFonts w:ascii="Times New Roman" w:hAnsi="Times New Roman"/>
          <w:sz w:val="20"/>
          <w:szCs w:val="20"/>
          <w:rtl w:val="0"/>
          <w:lang w:val="en-US"/>
        </w:rPr>
        <w:t>commit flow and Integrate with CI tools.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”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</w:t>
      </w:r>
      <w:r>
        <w:rPr>
          <w:rFonts w:ascii="Times New Roman" w:hAnsi="Times New Roman"/>
          <w:sz w:val="20"/>
          <w:szCs w:val="20"/>
          <w:rtl w:val="0"/>
          <w:lang w:val="en-US"/>
        </w:rPr>
        <w:t>game and lobby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which is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    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351ff"/>
    </w:rPr>
  </w:style>
  <w:style w:type="character" w:styleId="Hyperlink.2">
    <w:name w:val="Hyperlink.2"/>
    <w:basedOn w:val="連結"/>
    <w:next w:val="Hyperlink.2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3">
    <w:name w:val="Hyperlink.3"/>
    <w:basedOn w:val="連結"/>
    <w:next w:val="Hyperlink.3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