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Gabriel Garcia Márquez was born in Columbia in 1927. At the time, Colombia was experiencing a period of great political tension as the two major Liberal and Conservative parties violently clashed for power. Márquez’s own grandfather had fought for the Liberal party in the ‘War of The Thousand Days’, the bloody climax between the two parties from 1899-1902. In his early life, Márquez worked as a journalist, where he began to vocalize his sympathies with left wing politics. In 1954, after writing an article which suggested that the US were to blame for the shipwreck of a Colombian Navy destroyer, the government of Rojas Pinilla expressed upset. Márquez was forced to leave Colombia over fear of imprisonment by the dictatorial regime led by Pinilla, and subsequently fled to Europe. Márquez spent most of his adult life in exile from Colombia, both due to his frustration with Colombian politics, along with the potential danger his socialist views posed to the Colombian government. Throughout his life Márquez dedicated himself to the Socialist cause, becoming close friends with the President of Communist Cuba, Fidel Castro, as well as writing both academic articles and literature about the principles of Socialism. Whilst his politics meant he could not return to his home country with ease, Márquez is now credited with helping to create a coherent Latin American identity and expose some of most pressing realities of Latin America. He criticized the US involvement in Latin America, arguing that there were cases of corrupt US intervention, and when he won the Nobel Prize in Literature, he spoke about wars, military coups, dictatorships and ethnocide that had plagued Latin America. His novels, as well as his establishment of the literary genre ‘magic realism’, gave voice to Latin America’s culture and history. His most famous novel 100 Years of Solitude used symbolism and a combination of magical fiction and real-life Latin America to form a beautiful portrayal of the place Márquez was forced to leave as a young man. As a refugee, Márquez still continued to write about the beauty, and also the hardships, of his country.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