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Choman Hardi’s poetry predominantly discusses the long reaching consequences of the ‘Anfal’ attacks on the rural Kurdish people. Her work articulates devastating grief and anger while still retaining some sense of hope. </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word ‘Anfal’ means spoils or scourge in Arabic. Hardi uses it to refer to a series of eight military offensives launched in 1988 by the Iraqi government during Sadam Hussein’s Presidency. These attacks, which occurred in six areas and involved the use of chemical weapons, led to a mass dislocation of the Kurds. It is estimated that 2,600 villages were destroyed and 50,000-100,000 civilians were buried in mass graves. </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Hardi reflects on this in her ‘Dropping Gas: 16</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March 1988’, where she describes the notorious attack on the village of Halabja. She combines visceral visual and auditory images to place the reader into an observatory position, leading critic Zhila Gholami to describe Hardi’s work as “poetry of witness” (2023: 865). Her poetry is not only a reflection on atrocity but a voice that forces awareness of Kurdish defiance and resistance.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poet also focuses on female suffering based on her own academic research. Her ‘Anfal’ sequence features 11 poems in the female voice, exploring aspects of the Kurdish genocidal experience such as the arrest and mass murder of sons, and life in ‘Dibs Camp, the Women’s Prison’. Her work ‘The Angry Survivor’ articulates the way in which Kurdish women are minimised into their victimhood and forced to relive their trauma for external satisfaction: “Long after you/ turn off your recorder I stay indoors and weep.” Hardi’s work acts as a witness to atrocity, and defiantly declines to forget it: “I sing my country for the silence that surrounds it” (‘My Country’).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existence and persistence of Hardi’s poetic voice engenders hope. She refuses to be silenced despite the inhumane violence of the Kurdish genocide which led to her own displacement.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