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7jqk0jsx4zc2" w:id="0"/>
      <w:bookmarkEnd w:id="0"/>
      <w:r w:rsidDel="00000000" w:rsidR="00000000" w:rsidRPr="00000000">
        <w:rPr>
          <w:rtl w:val="0"/>
        </w:rPr>
        <w:t xml:space="preserve">A Long Way Home</w:t>
      </w:r>
    </w:p>
    <w:p w:rsidR="00000000" w:rsidDel="00000000" w:rsidP="00000000" w:rsidRDefault="00000000" w:rsidRPr="00000000" w14:paraId="00000002">
      <w:pPr>
        <w:pStyle w:val="Subtitle"/>
        <w:spacing w:after="240" w:before="240" w:lineRule="auto"/>
        <w:jc w:val="center"/>
        <w:rPr/>
      </w:pPr>
      <w:bookmarkStart w:colFirst="0" w:colLast="0" w:name="_azoqy1reesds" w:id="1"/>
      <w:bookmarkEnd w:id="1"/>
      <w:r w:rsidDel="00000000" w:rsidR="00000000" w:rsidRPr="00000000">
        <w:rPr>
          <w:rtl w:val="0"/>
        </w:rPr>
        <w:t xml:space="preserve">Taiwan’s mainlanders travelling home after 38 years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“When I left home, my mother saw me off by the tree at the entrance to the village. That was the last time I saw her.” Chen Hsing-wu, a former Major-General of the Republic of China (ROC) Army, arrived in Taiwan in 1949. He comes originally from Xuzhou, a city in eastern China. Along with his classmates and teacher, 16-year-old Chen fled from the advancing Communists and ended up in Taiwan; however, like many other mainlanders, he was forbidden from returning home for almost four decades.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Chinese Civil War between the Chinese Communist Party and the Nationalist Party erupted soon after the surrender of Japan in the summer of 1945. Without a common enemy, the two forces contended for the control of China, resulting in over seven million casualties and an untold number of displaced people. Among them, an estimated number of 1.1 to 1.2 million people moved from the mainland to Taiwan, including both soldiers and civilians.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In 1949, the Communists gained control and established the People’s Republic of China (PRC), while the Nationalists-led ROC government retreated to Taiwan. The consequent division and the continued conflict had cut off communication across the strait. Under the Martial Law, the mainlanders who were resettled in Taiwan were prohibited from contacting their families remained at home in any way, let alone travelling to the mainland to visit them. Though some people managed to send and receive letters from the mainland by redirecting them abroad and even a very few of them visited there by travelling through a third country, they were at the constant risk of being accused of treason and imprisonment under military rule. As a result, many mainlanders – particularly ones who did not have access to those businesses either due to lack of money or information – had not heard from their families since they left home in the late 1940s.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In 1979, the PRC government issued the Message to Compatriots in Taiwan, which indicated a willingness to reopen communications and travelling across the strait. Nevertheless, the ROC President Chiang Ching-kuo took a tough stand with the Three Noes Policy – “no contact, no negotiation, and no compromise”. Though the travel ban remained, the newly founded Democratic Progressive Party (DPP) and later the mainland veterans rebelled against it in the wake of democratisation in Taiwan. In April 1987, the veteran-led Mainlander Home Visit Promotion Association (MHVPA) – a pressure group aiming to influence the government’s hardline cross-strait policy – was formed. Their members took to the streets to protest, distributed flyers and held rallies. Their actions were accompanied by risk at a time when protests and demonstrations were still highly restricted. Their members were stigmatised as traitors to the nation and once got attacked when distributing flyers at a veterans home. Consequently, the government suggested the possibility of allowing the mainlanders to visit their families one month after the Martial Law was repealed in July; within two months, it announced that the travel ban would be lifted by the end of that year. In the first month of the reopening, more than 10,000 mainlanders went back to reunite with their families; over 140,000 people applied for family visits in the following six months.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swift decision-making was accompanied by years-long institution-building, legislation, and policy-making. In 1991, the Mainland Affairs Council (MAC) was established for cross-strait policy formulation and implementation under the Executive Yuan. The Straits Exchange Foundation (SEF) – a quango authorised by the MAC to handle consular affairs such as document legalisation – was formed in the same year. In response, the PRC set up the Taiwan Affairs Office (TAO) and the Association for Relations Across the Taiwan Straits (ARATS), together constituting an exchange framework without recognising the other government.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To provide legal footing for the people-to-people exchanges, the Cross-Strait Act was promulgated and implemented in 1992. It was followed by the formulation of specific regulations. Restrictions on travel to the mainland were further relaxed by expanding the scope of family visits, including some public servants. The effect of allowing family visits spilt over into trades and cultural exchanges across the strait, facilitating negotiations via the SEF and the ARATS. Though intervened by the missile crisis of 1996, the COVID-19 pandemic and the recent tensions between Beijing and Taipei, travelling and communications across the strait continue 36 years after the reopening.</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Chen, the former Major-General mentioned earlier, managed to reunite with his siblings in Xuzhou after he retired from the Army. He paid his first visit in 1990 and since then has travelled to the mainland 18 times. However, to his regret, his mother passed away years before his visit.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Three factors had led to the reopening of borders across the strait. The first factor was the plea by the veterans and the DPP, the Opposition. The DPP first launched the Freedom to Return Home Movement in early 1987, which was originally for Taiwanese exiles blacklisted by the government. The movement soon expanded to include Taiwanese who were resettled in the mainland and the mainlanders in Taiwan. Its aims and objectives were from a broader perspective of human rights and were thus endorsed by a wide range of activists and organisations. The agenda became clearer and the appeal stronger when the veterans formed the MHVPA. By shining a spotlight on the veterans, who fought for the Nationalists, and campaigning on emotional slogans such as “We miss home”, “I miss my mother”, and “Brought us here then send us home”, the MHVPA had succeeded in attracting public attention and evoking sympathy. It had also effectively exerted pressure on the government since the veterans had been their loyal supporters; it had also framed the travel ban as an ethical issue by highlighting filial piety, one of the ‘eight virtues’ upheld by the Nationalist government.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Secondly, the then President Chiang had softened his stance on reopening travelling across the strait. In June 1987, he accepted the proposal by his close advisors who empathised with the veterans and ordered the senior party members to formulate a scheme. On the one hand, it was a relatively easy decision to make after he resolved to lift the Martial Law. On the other, the fact that the veterans first allied with the DPP, and his deteriorating health had urged him to keep his promise of bringing them home. His change in attitude had quietened opposing views within the party and greatly smoothed the way to lift the travel ban. Thirdly, the PRC government had closely cooperated with the ROC government by establishing corresponding institutions including the TAO and the ARATS and expressing its willingness to negotiate. In the late spring of 1991, the SEF and the TAO had their first meeting in Beijing to open up communication lines. Almost 30 meetings were held in the following decade. The “Three Links” –post, transport, and trades across the strait – were implemented two decades after the first batch of mainlanders travelled home.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“Everyone has the right to leave any country, including his own, and to return to his country.” As stated in Article 13 of the Universal Declaration of Human Rights, the right of return is a principle of international law. The UN High Commissioner for Refugees also highlight “voluntary repatriation” as one of the long-term solutions they are working on. Nonetheless, the right of return has either been violated such as in the case of the Palestinian refugees being denied return to the territories by the Israeli government or has been disregarded in many other cases. By mid-2023, merely 3.1 displaced people returned home while 110 million people were still forced to leave their homes. As this article discusses, ensuring displaced people’s return in safety and with dignity requires strong multilateral cooperation across borders, and the first step is to make the displaced people’s voices heard.</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40" w:before="240" w:lineRule="auto"/>
        <w:rPr/>
      </w:pPr>
      <w:bookmarkStart w:colFirst="0" w:colLast="0" w:name="_38tfnr1muvo5" w:id="2"/>
      <w:bookmarkEnd w:id="2"/>
      <w:r w:rsidDel="00000000" w:rsidR="00000000" w:rsidRPr="00000000">
        <w:rPr>
          <w:rtl w:val="0"/>
        </w:rPr>
        <w:t xml:space="preserve">Bibliography</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BBC. (2017年10月16日). 開放探親30年：蔣經國的"人生謝幕"演出. 擷取自 BBC News 中文: https://www.bbc.com/zhongwen/trad/chinese-news-41641433</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Britannica. (2023). Chinese Civil War summary. Retrieved from Britannica: https://www.britannica.com/summary/Chinese-Communist-Party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OHCHR. (2023, 6 21). Right of return of Palestinian refugees must be prioritised over political considerations: UN experts. Retrieved from UN Human Rights Office: https://www.ohchr.org/en/statements/2023/06/right-return-palestinian-refugees-must-be-prioritised-over-political</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OHCHR. (2023). Universal Declaration of Human Rights - English. Retrieved from UN Human Rights Office: https://www.ohchr.org/en/human-rights/universal-declaration/translations/english</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UNHCR. (2023, 10 25). Mid-Year Trends 2023. Retrieved from UNHCR, the UN Refugee Agency: https://www.unhcr.org/mid-year-trends-report-2023</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UNHCR. (2023). UNHCR, the UN Refugee Agency. Retrieved from Voluntary repatriation: https://www.unhcr.org/what-we-do/build-better-futures/long-term-solutions/voluntary-repatriation</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財團法人海峽交流基金會. (2020年8月11日). 第一次陳唐會談. 擷取自 財團法人海峽交流基金會: https://www.sef.org.tw/article-1-104-1464</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中華民國大陸委員會. (2023). 1999年（臺灣與大陸的關係）. 擷取自 大陸委員會: https://www.mac.gov.tw/cp.aspx?n=1B57FA2412D65AB7</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中華民國大陸委員會. (2023). I. 大陸政策與工作：民國元年至民國七十九年. 擷取自 大陸委員會: https://www.mac.gov.tw/News_Content.aspx?n=9223A12B5B31CB37&amp;sms=35FA2C4073CF4DFB&amp;s=25E0B5C0E91BFCE1</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中华人民共和国中央人民政府. (2006年2月28日). 全国人大常委会《告台湾同胞书》(1979年1月1日). 检索来源: 中华人民共和国中央人民政府: https://www.gov.cn/test/2006-02/28/content_213298.htm</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文化部. (2012年1月4日). 大小三通. 擷取自 台灣大百科全書: https://nrch.culture.tw/twpedia.aspx?id=100197</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葉高華. (2018). 外省人的人數、來源與分布. 臺灣學通訊, 15-17.</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晏子萍. (2021年5月27日). 莫問征途遠 只道早還鄉. 擷取自 搶救遷臺歷史記憶庫: https://www.mocsr.com/story-view.php?ID=143</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觀察. (2017年10月). 開放大陸探親大事記. 擷取自 《觀察》雜誌: http://old.observer-taipei.com/www.observer-taipei.com/article6991.html?id=1697</w:t>
      </w:r>
    </w:p>
    <w:p w:rsidR="00000000" w:rsidDel="00000000" w:rsidP="00000000" w:rsidRDefault="00000000" w:rsidRPr="00000000" w14:paraId="0000002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蔣故總統經國先生百年誕辰紀念活動籌備委員會. (2009). 生平與貢獻：開放兩岸探親. 擷取自 蔣故總統經國先生百年誕辰紀念: http://www.cck.org.tw/life/life_taiwan_8.html</w:t>
      </w:r>
    </w:p>
    <w:p w:rsidR="00000000" w:rsidDel="00000000" w:rsidP="00000000" w:rsidRDefault="00000000" w:rsidRPr="00000000" w14:paraId="00000022">
      <w:pPr>
        <w:spacing w:after="240" w:before="240"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