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b/>
          <w:bCs/>
          <w:color w:val="B8860B"/>
          <w:sz w:val="28"/>
          <w:szCs w:val="28"/>
        </w:rPr>
        <w:t xml:space="preserve">بِسْمِ اللّهِ الرَّحْمنِ الرَّحِيمِ</w:t>
      </w:r>
    </w:p>
    <w:p>
      <w:pPr>
        <w:spacing w:after="400"/>
      </w:pPr>
    </w:p>
    <w:p>
      <w:pPr>
        <w:spacing w:after="120"/>
        <w:jc w:val="center"/>
      </w:pPr>
      <w:r>
        <w:rPr>
          <w:rFonts w:ascii="Arial" w:cs="Arial" w:eastAsia="Arial" w:hAnsi="Arial"/>
          <w:b/>
          <w:bCs/>
          <w:color w:val="1a1a2e"/>
          <w:sz w:val="72"/>
          <w:szCs w:val="72"/>
        </w:rPr>
        <w:t xml:space="preserve">BIZRA</w:t>
      </w:r>
    </w:p>
    <w:p>
      <w:pPr>
        <w:spacing w:after="80"/>
        <w:jc w:val="center"/>
      </w:pPr>
      <w:r>
        <w:rPr>
          <w:rFonts w:ascii="Arial" w:cs="Arial" w:eastAsia="Arial" w:hAnsi="Arial"/>
          <w:color w:val="2E8B57"/>
          <w:sz w:val="40"/>
          <w:szCs w:val="40"/>
        </w:rPr>
        <w:t xml:space="preserve">Ω∞ PEAK SYNTHESIS</w:t>
      </w:r>
    </w:p>
    <w:p>
      <w:pPr>
        <w:spacing w:after="300"/>
        <w:jc w:val="center"/>
      </w:pPr>
      <w:r>
        <w:rPr>
          <w:rFonts w:ascii="Arial" w:cs="Arial" w:eastAsia="Arial" w:hAnsi="Arial"/>
          <w:color w:val="666666"/>
          <w:sz w:val="26"/>
          <w:szCs w:val="26"/>
        </w:rPr>
        <w:t xml:space="preserve">Root Extraction Across 13 Documents</w:t>
      </w:r>
    </w:p>
    <w:p>
      <w:pPr>
        <w:spacing w:after="100"/>
        <w:jc w:val="center"/>
      </w:pPr>
      <w:r>
        <w:rPr>
          <w:rFonts w:ascii="Arial" w:cs="Arial" w:eastAsia="Arial" w:hAnsi="Arial"/>
          <w:i/>
          <w:iCs/>
          <w:color w:val="B8860B"/>
          <w:sz w:val="24"/>
          <w:szCs w:val="24"/>
        </w:rPr>
        <w:t xml:space="preserve">The Invariants That Survived Every Iteration</w:t>
      </w:r>
    </w:p>
    <w:p>
      <w:pPr>
        <w:spacing w:after="100"/>
        <w:jc w:val="center"/>
      </w:pPr>
      <w:r>
        <w:rPr>
          <w:rFonts w:ascii="Arial" w:cs="Arial" w:eastAsia="Arial" w:hAnsi="Arial"/>
          <w:i/>
          <w:iCs/>
          <w:color w:val="C0392B"/>
          <w:sz w:val="24"/>
          <w:szCs w:val="24"/>
        </w:rPr>
        <w:t xml:space="preserve">The Corrections That Must Be Made</w:t>
      </w:r>
    </w:p>
    <w:p>
      <w:pPr>
        <w:spacing w:after="100"/>
        <w:jc w:val="center"/>
      </w:pPr>
      <w:r>
        <w:rPr>
          <w:rFonts w:ascii="Arial" w:cs="Arial" w:eastAsia="Arial" w:hAnsi="Arial"/>
          <w:i/>
          <w:iCs/>
          <w:color w:val="4169E1"/>
          <w:sz w:val="24"/>
          <w:szCs w:val="24"/>
        </w:rPr>
        <w:t xml:space="preserve">The Single Next Step That Unlocks Everything</w:t>
      </w:r>
    </w:p>
    <w:p>
      <w:pPr>
        <w:spacing w:after="600"/>
      </w:pPr>
    </w:p>
    <w:p>
      <w:pPr>
        <w:spacing w:after="80"/>
        <w:jc w:val="center"/>
      </w:pPr>
      <w:r>
        <w:rPr>
          <w:rFonts w:ascii="Arial" w:cs="Arial" w:eastAsia="Arial" w:hAnsi="Arial"/>
          <w:color w:val="666666"/>
          <w:sz w:val="22"/>
          <w:szCs w:val="22"/>
        </w:rPr>
        <w:t xml:space="preserve">March 2026  ·  Dubai</w:t>
      </w:r>
    </w:p>
    <w:p>
      <w:pPr>
        <w:spacing w:after="80"/>
        <w:jc w:val="center"/>
      </w:pPr>
      <w:r>
        <w:rPr>
          <w:rFonts w:ascii="Arial" w:cs="Arial" w:eastAsia="Arial" w:hAnsi="Arial"/>
          <w:color w:val="666666"/>
          <w:sz w:val="22"/>
          <w:szCs w:val="22"/>
        </w:rPr>
        <w:t xml:space="preserve">13 Documents  ·  15,000+ Hours  ·  1 Truth</w:t>
      </w:r>
    </w:p>
    <w:p>
      <w:r>
        <w:br w:type="page"/>
      </w:r>
    </w:p>
    <w:p>
      <w:pPr>
        <w:pStyle w:val="Heading1"/>
        <w:spacing w:before="360" w:after="200"/>
      </w:pPr>
      <w:r>
        <w:rPr>
          <w:b/>
          <w:bCs/>
        </w:rPr>
        <w:t xml:space="preserve">PART I: THE TEN INVARIANTS</w:t>
      </w:r>
    </w:p>
    <w:p>
      <w:pPr>
        <w:spacing w:after="160" w:line="276"/>
        <w:jc w:val="left"/>
      </w:pPr>
      <w:r>
        <w:rPr>
          <w:rFonts w:ascii="Arial" w:cs="Arial" w:eastAsia="Arial" w:hAnsi="Arial"/>
          <w:b w:val="false"/>
          <w:bCs w:val="false"/>
          <w:i w:val="false"/>
          <w:iCs w:val="false"/>
          <w:color w:val="1a1a2e"/>
          <w:sz w:val="22"/>
          <w:szCs w:val="22"/>
        </w:rPr>
        <w:t xml:space="preserve">Across 13 documents spanning Ramadan 2023 to March 2026, these ten architectural commitments appear in every single iteration. They are not features. They are the DNA.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3160"/>
      </w:tblGrid>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Invariant</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Origin</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Appearances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Riba (Interest-Free)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البذرة p.15-16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13/13 documents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Hard Constitutional Gate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الرسالة (covenant)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13/13 documents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Gini ≤ 0.35 (ʿAdl Invariant)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البذرة (equity)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11/13 documents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System-1/System-2 Bifurcation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First code iteration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12/13 documents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Cryptographic Proof of Impact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الرسالة (trust)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13/13 documents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 Sovereignty (keys never leave)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البذرة (freedom)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11/13 documents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SEED + BLOOM Dual-Token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البذرة p.17-18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10/13 documents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PAT-7 + SAT-5 Agent Model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Atlas v3 onward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9/13 documents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EventBus = Truth, ActionBus = Effects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Blueprint v1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8/13 documents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Iḥsān as Multi-Dimensional Tensor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Proof Chain v1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10/13 documents</w:t>
            </w:r>
          </w:p>
        </w:tc>
      </w:tr>
    </w:tbl>
    <w:p>
      <w:pPr>
        <w:spacing w:after="200"/>
      </w:pPr>
    </w:p>
    <w:p>
      <w:pPr>
        <w:spacing w:after="160" w:line="276"/>
        <w:jc w:val="left"/>
      </w:pPr>
      <w:r>
        <w:rPr>
          <w:rFonts w:ascii="Arial" w:cs="Arial" w:eastAsia="Arial" w:hAnsi="Arial"/>
          <w:b w:val="false"/>
          <w:bCs w:val="false"/>
          <w:i w:val="false"/>
          <w:iCs w:val="false"/>
          <w:color w:val="1a1a2e"/>
          <w:sz w:val="22"/>
          <w:szCs w:val="22"/>
        </w:rPr>
        <w:t xml:space="preserve">Key observation: Invariants I-1 through I-6 trace directly to the two founding documents written during Ramadan 2023. The spiritual conviction preceded the technical architecture by months. This is not retrofitting — the architecture grew from the values, not the reverse.</w:t>
      </w:r>
    </w:p>
    <w:p>
      <w:r>
        <w:br w:type="page"/>
      </w:r>
    </w:p>
    <w:p>
      <w:pPr>
        <w:pStyle w:val="Heading1"/>
        <w:spacing w:before="360" w:after="200"/>
      </w:pPr>
      <w:r>
        <w:rPr>
          <w:b/>
          <w:bCs/>
        </w:rPr>
        <w:t xml:space="preserve">PART II: THE SEVEN CORRECTIONS</w:t>
      </w:r>
    </w:p>
    <w:p>
      <w:pPr>
        <w:spacing w:after="160" w:line="276"/>
        <w:jc w:val="left"/>
      </w:pPr>
      <w:r>
        <w:rPr>
          <w:rFonts w:ascii="Arial" w:cs="Arial" w:eastAsia="Arial" w:hAnsi="Arial"/>
          <w:b w:val="false"/>
          <w:bCs w:val="false"/>
          <w:i w:val="false"/>
          <w:iCs w:val="false"/>
          <w:color w:val="1a1a2e"/>
          <w:sz w:val="22"/>
          <w:szCs w:val="22"/>
        </w:rPr>
        <w:t xml:space="preserve">These are errors, contradictions, or gaps identified through cross-document analysis that must be resolved before any publication or production deployment. Each is precisely specified with the fix.</w:t>
      </w:r>
    </w:p>
    <w:p>
      <w:pPr>
        <w:spacing w:after="100"/>
      </w:pPr>
    </w:p>
    <w:p>
      <w:pPr>
        <w:pStyle w:val="Heading2"/>
        <w:spacing w:before="360" w:after="200"/>
      </w:pPr>
      <w:r>
        <w:rPr>
          <w:b/>
          <w:bCs/>
        </w:rPr>
        <w:t xml:space="preserve">Correction 1: Theorem 2.5 Statement/Proof Contradiction</w:t>
      </w:r>
    </w:p>
    <w:p>
      <w:pPr>
        <w:spacing w:after="160" w:line="276"/>
      </w:pPr>
      <w:r>
        <w:rPr>
          <w:rFonts w:ascii="Arial" w:cs="Arial" w:eastAsia="Arial" w:hAnsi="Arial"/>
          <w:b/>
          <w:bCs/>
          <w:color w:val="1a1a2e"/>
          <w:sz w:val="22"/>
          <w:szCs w:val="22"/>
        </w:rPr>
        <w:t xml:space="preserve">Problem: </w:t>
      </w:r>
      <w:r>
        <w:rPr>
          <w:rFonts w:ascii="Arial" w:cs="Arial" w:eastAsia="Arial" w:hAnsi="Arial"/>
          <w:color w:val="1a1a2e"/>
          <w:sz w:val="22"/>
          <w:szCs w:val="22"/>
        </w:rPr>
        <w:t xml:space="preserve">The theorem statement claims forest intelligence scales as Θ(N · log N) (super-linear), but the proof derives Θ(N / log N) (sub-linear). The "correction" note then cites empirical N^1.2. Three different claims in one theorem.</w:t>
      </w:r>
    </w:p>
    <w:p>
      <w:pPr>
        <w:spacing w:after="160" w:line="276"/>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State the theorem as Ω(N / log N) lower bound. Add conjecture: "Empirical observation suggests N^1.2 scaling due to second-order network effects not captured by the worst-case gossip model." This is honest and formally defensible.</w:t>
      </w:r>
    </w:p>
    <w:p>
      <w:pPr>
        <w:spacing w:after="160" w:line="276"/>
      </w:pPr>
      <w:r>
        <w:rPr>
          <w:rFonts w:ascii="Arial" w:cs="Arial" w:eastAsia="Arial" w:hAnsi="Arial"/>
          <w:b/>
          <w:bCs/>
          <w:color w:val="1a1a2e"/>
          <w:sz w:val="22"/>
          <w:szCs w:val="22"/>
        </w:rPr>
        <w:t xml:space="preserve">Priority: </w:t>
      </w:r>
      <w:r>
        <w:rPr>
          <w:rFonts w:ascii="Arial" w:cs="Arial" w:eastAsia="Arial" w:hAnsi="Arial"/>
          <w:color w:val="1a1a2e"/>
          <w:sz w:val="22"/>
          <w:szCs w:val="22"/>
        </w:rPr>
        <w:t xml:space="preserve">CRITICAL — this is the most visible error in the proof chain.</w:t>
      </w:r>
    </w:p>
    <w:p>
      <w:pPr>
        <w:pStyle w:val="Heading2"/>
        <w:spacing w:before="360" w:after="200"/>
      </w:pPr>
      <w:r>
        <w:rPr>
          <w:b/>
          <w:bCs/>
        </w:rPr>
        <w:t xml:space="preserve">Correction 2: Lemma 3.1 Learning Rate Error</w:t>
      </w:r>
    </w:p>
    <w:p>
      <w:pPr>
        <w:spacing w:after="160" w:line="276"/>
      </w:pPr>
      <w:r>
        <w:rPr>
          <w:rFonts w:ascii="Arial" w:cs="Arial" w:eastAsia="Arial" w:hAnsi="Arial"/>
          <w:b/>
          <w:bCs/>
          <w:color w:val="1a1a2e"/>
          <w:sz w:val="22"/>
          <w:szCs w:val="22"/>
        </w:rPr>
        <w:t xml:space="preserve">Problem: </w:t>
      </w:r>
      <w:r>
        <w:rPr>
          <w:rFonts w:ascii="Arial" w:cs="Arial" w:eastAsia="Arial" w:hAnsi="Arial"/>
          <w:color w:val="1a1a2e"/>
          <w:sz w:val="22"/>
          <w:szCs w:val="22"/>
        </w:rPr>
        <w:t xml:space="preserve">The lemma claims α_t = 1/√t satisfies both Robbins-Monro conditions. Condition 2 requires Σ α_t² &lt; ∞, but Σ 1/t = ∞ (harmonic series diverges). This invalidates the almost-sure convergence claim.</w:t>
      </w:r>
    </w:p>
    <w:p>
      <w:pPr>
        <w:spacing w:after="160" w:line="276"/>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Use the FSA cooling schedule from the Integration Protocol: T(t) = T₀/(1+t). As α_t = T(t), we get Σ α_t = Σ 1/(1+t) = ∞ (Condition 1 satisfied) and Σ α_t² = Σ 1/(1+t)² &lt; ∞ (Condition 2 satisfied). The FSA schedule from Document 4 fixes the proof chain from Document 1. Document this cross-reference explicitly.</w:t>
      </w:r>
    </w:p>
    <w:p>
      <w:pPr>
        <w:spacing w:after="160" w:line="276"/>
      </w:pPr>
      <w:r>
        <w:rPr>
          <w:rFonts w:ascii="Arial" w:cs="Arial" w:eastAsia="Arial" w:hAnsi="Arial"/>
          <w:b/>
          <w:bCs/>
          <w:color w:val="1a1a2e"/>
          <w:sz w:val="22"/>
          <w:szCs w:val="22"/>
        </w:rPr>
        <w:t xml:space="preserve">Priority: </w:t>
      </w:r>
      <w:r>
        <w:rPr>
          <w:rFonts w:ascii="Arial" w:cs="Arial" w:eastAsia="Arial" w:hAnsi="Arial"/>
          <w:color w:val="1a1a2e"/>
          <w:sz w:val="22"/>
          <w:szCs w:val="22"/>
        </w:rPr>
        <w:t xml:space="preserve">HIGH — affects the foundation of HHMM convergence.</w:t>
      </w:r>
    </w:p>
    <w:p>
      <w:pPr>
        <w:pStyle w:val="Heading2"/>
        <w:spacing w:before="360" w:after="200"/>
      </w:pPr>
      <w:r>
        <w:rPr>
          <w:b/>
          <w:bCs/>
        </w:rPr>
        <w:t xml:space="preserve">Correction 3: Iḥsān Dimension Count</w:t>
      </w:r>
    </w:p>
    <w:p>
      <w:pPr>
        <w:spacing w:after="160" w:line="276"/>
      </w:pPr>
      <w:r>
        <w:rPr>
          <w:rFonts w:ascii="Arial" w:cs="Arial" w:eastAsia="Arial" w:hAnsi="Arial"/>
          <w:b/>
          <w:bCs/>
          <w:color w:val="1a1a2e"/>
          <w:sz w:val="22"/>
          <w:szCs w:val="22"/>
        </w:rPr>
        <w:t xml:space="preserve">Problem: </w:t>
      </w:r>
      <w:r>
        <w:rPr>
          <w:rFonts w:ascii="Arial" w:cs="Arial" w:eastAsia="Arial" w:hAnsi="Arial"/>
          <w:color w:val="1a1a2e"/>
          <w:sz w:val="22"/>
          <w:szCs w:val="22"/>
        </w:rPr>
        <w:t xml:space="preserve">Documents use 4, 6, or 8 dimensions inconsistently. Proof Chain Cortex uses 8 (accuracy, safety, fairness, transparency, privacy, accountability, sustainability, beneficence). Integration Protocol uses 8 different names. Emulator uses 6. Blueprint uses a scalar.</w:t>
      </w:r>
    </w:p>
    <w:p>
      <w:pPr>
        <w:spacing w:after="160" w:line="276"/>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Canonicalize at 8 dimensions per the Proof Chain Cortex (the only document with a working implementation). Create a constants file that all codebases import. The canonical 8: Accuracy, Safety, Fairness, Transparency, Privacy, Accountability, Sustainability, Beneficence.</w:t>
      </w:r>
    </w:p>
    <w:p>
      <w:pPr>
        <w:spacing w:after="160" w:line="276"/>
      </w:pPr>
      <w:r>
        <w:rPr>
          <w:rFonts w:ascii="Arial" w:cs="Arial" w:eastAsia="Arial" w:hAnsi="Arial"/>
          <w:b/>
          <w:bCs/>
          <w:color w:val="1a1a2e"/>
          <w:sz w:val="22"/>
          <w:szCs w:val="22"/>
        </w:rPr>
        <w:t xml:space="preserve">Priority: </w:t>
      </w:r>
      <w:r>
        <w:rPr>
          <w:rFonts w:ascii="Arial" w:cs="Arial" w:eastAsia="Arial" w:hAnsi="Arial"/>
          <w:color w:val="1a1a2e"/>
          <w:sz w:val="22"/>
          <w:szCs w:val="22"/>
        </w:rPr>
        <w:t xml:space="preserve">HIGH — split-brain problem (H₂) from the Diffusion Thesis.</w:t>
      </w:r>
    </w:p>
    <w:p>
      <w:pPr>
        <w:pStyle w:val="Heading2"/>
        <w:spacing w:before="360" w:after="200"/>
      </w:pPr>
      <w:r>
        <w:rPr>
          <w:b/>
          <w:bCs/>
        </w:rPr>
        <w:t xml:space="preserve">Correction 4: Iḥsān Threshold Confusion</w:t>
      </w:r>
    </w:p>
    <w:p>
      <w:pPr>
        <w:spacing w:after="160" w:line="276"/>
      </w:pPr>
      <w:r>
        <w:rPr>
          <w:rFonts w:ascii="Arial" w:cs="Arial" w:eastAsia="Arial" w:hAnsi="Arial"/>
          <w:b/>
          <w:bCs/>
          <w:color w:val="1a1a2e"/>
          <w:sz w:val="22"/>
          <w:szCs w:val="22"/>
        </w:rPr>
        <w:t xml:space="preserve">Problem: </w:t>
      </w:r>
      <w:r>
        <w:rPr>
          <w:rFonts w:ascii="Arial" w:cs="Arial" w:eastAsia="Arial" w:hAnsi="Arial"/>
          <w:color w:val="1a1a2e"/>
          <w:sz w:val="22"/>
          <w:szCs w:val="22"/>
        </w:rPr>
        <w:t xml:space="preserve">Different documents use 0.85, 0.90, 0.95, or 0.97 as "the" threshold. This creates implementation ambiguity.</w:t>
      </w:r>
    </w:p>
    <w:p>
      <w:pPr>
        <w:spacing w:after="160" w:line="276"/>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Adopt the Blueprint’s dual-threshold system as canonical. Four tiers: Mission Floor (0.85) = action executes; Bloom Eligibility (0.90) = governance rights; Minting Floor (0.95) = SEED earned; Excellence (0.97+) = bonus multiplier. Each tier has a distinct purpose. No more single-threshold confusion.</w:t>
      </w:r>
    </w:p>
    <w:p>
      <w:pPr>
        <w:spacing w:after="160" w:line="276"/>
      </w:pPr>
      <w:r>
        <w:rPr>
          <w:rFonts w:ascii="Arial" w:cs="Arial" w:eastAsia="Arial" w:hAnsi="Arial"/>
          <w:b/>
          <w:bCs/>
          <w:color w:val="1a1a2e"/>
          <w:sz w:val="22"/>
          <w:szCs w:val="22"/>
        </w:rPr>
        <w:t xml:space="preserve">Priority: </w:t>
      </w:r>
      <w:r>
        <w:rPr>
          <w:rFonts w:ascii="Arial" w:cs="Arial" w:eastAsia="Arial" w:hAnsi="Arial"/>
          <w:color w:val="1a1a2e"/>
          <w:sz w:val="22"/>
          <w:szCs w:val="22"/>
        </w:rPr>
        <w:t xml:space="preserve">MEDIUM — the Blueprint already solved this; just propagate it.</w:t>
      </w:r>
    </w:p>
    <w:p>
      <w:pPr>
        <w:pStyle w:val="Heading2"/>
        <w:spacing w:before="360" w:after="200"/>
      </w:pPr>
      <w:r>
        <w:rPr>
          <w:b/>
          <w:bCs/>
        </w:rPr>
        <w:t xml:space="preserve">Correction 5: Reflex Precipitation Trigger</w:t>
      </w:r>
    </w:p>
    <w:p>
      <w:pPr>
        <w:spacing w:after="160" w:line="276"/>
      </w:pPr>
      <w:r>
        <w:rPr>
          <w:rFonts w:ascii="Arial" w:cs="Arial" w:eastAsia="Arial" w:hAnsi="Arial"/>
          <w:b/>
          <w:bCs/>
          <w:color w:val="1a1a2e"/>
          <w:sz w:val="22"/>
          <w:szCs w:val="22"/>
        </w:rPr>
        <w:t xml:space="preserve">Problem: </w:t>
      </w:r>
      <w:r>
        <w:rPr>
          <w:rFonts w:ascii="Arial" w:cs="Arial" w:eastAsia="Arial" w:hAnsi="Arial"/>
          <w:color w:val="1a1a2e"/>
          <w:sz w:val="22"/>
          <w:szCs w:val="22"/>
        </w:rPr>
        <w:t xml:space="preserve">Math Proof Chain says 3 successful executions with Iḥsān ≥ 0.90. Complete Story says 5 successful executions with high Iḥsān. Emulator uses every 3rd mission with Iḥsān ≥ 0.90. Three different numbers.</w:t>
      </w:r>
    </w:p>
    <w:p>
      <w:pPr>
        <w:spacing w:after="160" w:line="276"/>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Canonicalize at 3 (from the formal proof, which provides the mathematical justification). The Complete Story’s "5" was likely a narrative approximation. Update all references.</w:t>
      </w:r>
    </w:p>
    <w:p>
      <w:pPr>
        <w:spacing w:after="160" w:line="276"/>
      </w:pPr>
      <w:r>
        <w:rPr>
          <w:rFonts w:ascii="Arial" w:cs="Arial" w:eastAsia="Arial" w:hAnsi="Arial"/>
          <w:b/>
          <w:bCs/>
          <w:color w:val="1a1a2e"/>
          <w:sz w:val="22"/>
          <w:szCs w:val="22"/>
        </w:rPr>
        <w:t xml:space="preserve">Priority: </w:t>
      </w:r>
      <w:r>
        <w:rPr>
          <w:rFonts w:ascii="Arial" w:cs="Arial" w:eastAsia="Arial" w:hAnsi="Arial"/>
          <w:color w:val="1a1a2e"/>
          <w:sz w:val="22"/>
          <w:szCs w:val="22"/>
        </w:rPr>
        <w:t xml:space="preserve">LOW — affects documentation consistency, not architecture.</w:t>
      </w:r>
    </w:p>
    <w:p>
      <w:pPr>
        <w:pStyle w:val="Heading2"/>
        <w:spacing w:before="360" w:after="200"/>
      </w:pPr>
      <w:r>
        <w:rPr>
          <w:b/>
          <w:bCs/>
        </w:rPr>
        <w:t xml:space="preserve">Correction 6: Theorem 2.3 Needs Oracle Assumption</w:t>
      </w:r>
    </w:p>
    <w:p>
      <w:pPr>
        <w:spacing w:after="160" w:line="276"/>
      </w:pPr>
      <w:r>
        <w:rPr>
          <w:rFonts w:ascii="Arial" w:cs="Arial" w:eastAsia="Arial" w:hAnsi="Arial"/>
          <w:b/>
          <w:bCs/>
          <w:color w:val="1a1a2e"/>
          <w:sz w:val="22"/>
          <w:szCs w:val="22"/>
        </w:rPr>
        <w:t xml:space="preserve">Problem: </w:t>
      </w:r>
      <w:r>
        <w:rPr>
          <w:rFonts w:ascii="Arial" w:cs="Arial" w:eastAsia="Arial" w:hAnsi="Arial"/>
          <w:color w:val="1a1a2e"/>
          <w:sz w:val="22"/>
          <w:szCs w:val="22"/>
        </w:rPr>
        <w:t xml:space="preserve">The constitutional safety proof is trivially true by construction (it’s an if-statement). The real question is: how accurate is the Iḥsān measurement itself? If measured by an LLM, the gate is only as good as the LLM’s judgment.</w:t>
      </w:r>
    </w:p>
    <w:p>
      <w:pPr>
        <w:spacing w:after="160" w:line="276"/>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Add explicit assumption: "We assume an ε-accurate Iḥsān oracle, where |i_j^measured − i_j^true| &lt; ε with probability 1−δ." Then restate: P(Actuate | PoI_true &lt; τ − 8ε) ≤ δ. This is a much more powerful and honest result. The Integration Protocol’s energy functions can serve as the oracle definition.</w:t>
      </w:r>
    </w:p>
    <w:p>
      <w:pPr>
        <w:spacing w:after="160" w:line="276"/>
      </w:pPr>
      <w:r>
        <w:rPr>
          <w:rFonts w:ascii="Arial" w:cs="Arial" w:eastAsia="Arial" w:hAnsi="Arial"/>
          <w:b/>
          <w:bCs/>
          <w:color w:val="1a1a2e"/>
          <w:sz w:val="22"/>
          <w:szCs w:val="22"/>
        </w:rPr>
        <w:t xml:space="preserve">Priority: </w:t>
      </w:r>
      <w:r>
        <w:rPr>
          <w:rFonts w:ascii="Arial" w:cs="Arial" w:eastAsia="Arial" w:hAnsi="Arial"/>
          <w:color w:val="1a1a2e"/>
          <w:sz w:val="22"/>
          <w:szCs w:val="22"/>
        </w:rPr>
        <w:t xml:space="preserve">HIGH — transforms a trivial result into a genuinely powerful one.</w:t>
      </w:r>
    </w:p>
    <w:p>
      <w:pPr>
        <w:pStyle w:val="Heading2"/>
        <w:spacing w:before="360" w:after="200"/>
      </w:pPr>
      <w:r>
        <w:rPr>
          <w:b/>
          <w:bCs/>
        </w:rPr>
        <w:t xml:space="preserve">Correction 7: SNR Normalization Split-Brain</w:t>
      </w:r>
    </w:p>
    <w:p>
      <w:pPr>
        <w:spacing w:after="160" w:line="276"/>
      </w:pPr>
      <w:r>
        <w:rPr>
          <w:rFonts w:ascii="Arial" w:cs="Arial" w:eastAsia="Arial" w:hAnsi="Arial"/>
          <w:b/>
          <w:bCs/>
          <w:color w:val="1a1a2e"/>
          <w:sz w:val="22"/>
          <w:szCs w:val="22"/>
        </w:rPr>
        <w:t xml:space="preserve">Problem: </w:t>
      </w:r>
      <w:r>
        <w:rPr>
          <w:rFonts w:ascii="Arial" w:cs="Arial" w:eastAsia="Arial" w:hAnsi="Arial"/>
          <w:color w:val="1a1a2e"/>
          <w:sz w:val="22"/>
          <w:szCs w:val="22"/>
        </w:rPr>
        <w:t xml:space="preserve">Research codebase uses min(snr_raw / (1 + snr_raw), 1.0) (sigmoid, bounded [0,1]). Production uses math.log1p(ratio) * 2.0 (log-scale, unbounded). For raw = 10: research gives 0.909, production gives 4.804. All comparisons break.</w:t>
      </w:r>
    </w:p>
    <w:p>
      <w:pPr>
        <w:spacing w:after="160" w:line="276"/>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Create a canonical SNR normalization in a shared constants module. Use the research formula (sigmoid, bounded [0,1]) as canonical — it is bounded, monotonic, and compatible with the Iḥsān tensor’s [0,1] range.</w:t>
      </w:r>
    </w:p>
    <w:p>
      <w:pPr>
        <w:spacing w:after="160" w:line="276"/>
      </w:pPr>
      <w:r>
        <w:rPr>
          <w:rFonts w:ascii="Arial" w:cs="Arial" w:eastAsia="Arial" w:hAnsi="Arial"/>
          <w:b/>
          <w:bCs/>
          <w:color w:val="1a1a2e"/>
          <w:sz w:val="22"/>
          <w:szCs w:val="22"/>
        </w:rPr>
        <w:t xml:space="preserve">Priority: </w:t>
      </w:r>
      <w:r>
        <w:rPr>
          <w:rFonts w:ascii="Arial" w:cs="Arial" w:eastAsia="Arial" w:hAnsi="Arial"/>
          <w:color w:val="1a1a2e"/>
          <w:sz w:val="22"/>
          <w:szCs w:val="22"/>
        </w:rPr>
        <w:t xml:space="preserve">CRITICAL — blocks integration testing.</w:t>
      </w:r>
    </w:p>
    <w:p>
      <w:r>
        <w:br w:type="page"/>
      </w:r>
    </w:p>
    <w:p>
      <w:pPr>
        <w:pStyle w:val="Heading1"/>
        <w:spacing w:before="360" w:after="200"/>
      </w:pPr>
      <w:r>
        <w:rPr>
          <w:b/>
          <w:bCs/>
        </w:rPr>
        <w:t xml:space="preserve">PART III: THE FIVE GOLDEN GEMS</w:t>
      </w:r>
    </w:p>
    <w:p>
      <w:pPr>
        <w:spacing w:after="160" w:line="276"/>
        <w:jc w:val="left"/>
      </w:pPr>
      <w:r>
        <w:rPr>
          <w:rFonts w:ascii="Arial" w:cs="Arial" w:eastAsia="Arial" w:hAnsi="Arial"/>
          <w:b w:val="false"/>
          <w:bCs w:val="false"/>
          <w:i w:val="false"/>
          <w:iCs w:val="false"/>
          <w:color w:val="1a1a2e"/>
          <w:sz w:val="22"/>
          <w:szCs w:val="22"/>
        </w:rPr>
        <w:t xml:space="preserve">These insights survived scrutiny from the math audit, external evaluations (Aurelle), cross-document analysis, and CLEANER research validation. They are not speculative — they are proven.</w:t>
      </w:r>
    </w:p>
    <w:p>
      <w:pPr>
        <w:spacing w:after="100"/>
      </w:pPr>
    </w:p>
    <w:p>
      <w:pPr>
        <w:pStyle w:val="Heading2"/>
        <w:spacing w:before="360" w:after="200"/>
      </w:pPr>
      <w:r>
        <w:rPr>
          <w:b/>
          <w:bCs/>
        </w:rPr>
        <w:t xml:space="preserve">Gem 1: EventBus = Truth, ActionBus = Side Effects</w:t>
      </w:r>
    </w:p>
    <w:p>
      <w:pPr>
        <w:spacing w:after="160" w:line="276"/>
        <w:jc w:val="left"/>
      </w:pPr>
      <w:r>
        <w:rPr>
          <w:rFonts w:ascii="Arial" w:cs="Arial" w:eastAsia="Arial" w:hAnsi="Arial"/>
          <w:b w:val="false"/>
          <w:bCs w:val="false"/>
          <w:i w:val="false"/>
          <w:iCs w:val="false"/>
          <w:color w:val="1a1a2e"/>
          <w:sz w:val="22"/>
          <w:szCs w:val="22"/>
        </w:rPr>
        <w:t xml:space="preserve">This is the single cleanest architectural insight across the entire corpus. No reviewer challenged it. No document contradicted it. It appears in the Blueprint, both Atlas versions, and the Complete Story.</w:t>
      </w:r>
    </w:p>
    <w:p>
      <w:pPr>
        <w:spacing w:after="160" w:line="276"/>
        <w:jc w:val="left"/>
      </w:pPr>
      <w:r>
        <w:rPr>
          <w:rFonts w:ascii="Arial" w:cs="Arial" w:eastAsia="Arial" w:hAnsi="Arial"/>
          <w:b w:val="false"/>
          <w:bCs w:val="false"/>
          <w:i w:val="false"/>
          <w:iCs w:val="false"/>
          <w:color w:val="1a1a2e"/>
          <w:sz w:val="22"/>
          <w:szCs w:val="22"/>
        </w:rPr>
        <w:t xml:space="preserve">The EventBus is an append-only, BLAKE3 hash-chained, domain-separated log. Every state change is an event. Reducers (WalletReducer, ReflexReducer, NetworkReducer) project derived state from events. State is always reconstructible from the log.</w:t>
      </w:r>
    </w:p>
    <w:p>
      <w:pPr>
        <w:spacing w:after="160" w:line="276"/>
        <w:jc w:val="left"/>
      </w:pPr>
      <w:r>
        <w:rPr>
          <w:rFonts w:ascii="Arial" w:cs="Arial" w:eastAsia="Arial" w:hAnsi="Arial"/>
          <w:b w:val="false"/>
          <w:bCs w:val="false"/>
          <w:i w:val="false"/>
          <w:iCs w:val="false"/>
          <w:color w:val="1a1a2e"/>
          <w:sz w:val="22"/>
          <w:szCs w:val="22"/>
        </w:rPr>
        <w:t xml:space="preserve">The ActionBus is a triple-gated executor: TeleScript (permission boundary), Skill Tier (capability progression), FATE Gate (constitutional check). No uncontrolled side effect can execute.</w:t>
      </w:r>
    </w:p>
    <w:p>
      <w:pPr>
        <w:spacing w:after="160" w:line="276"/>
      </w:pPr>
      <w:r>
        <w:rPr>
          <w:rFonts w:ascii="Arial" w:cs="Arial" w:eastAsia="Arial" w:hAnsi="Arial"/>
          <w:b/>
          <w:bCs/>
          <w:color w:val="1a1a2e"/>
          <w:sz w:val="22"/>
          <w:szCs w:val="22"/>
        </w:rPr>
        <w:t xml:space="preserve">Why it matters: </w:t>
      </w:r>
      <w:r>
        <w:rPr>
          <w:rFonts w:ascii="Arial" w:cs="Arial" w:eastAsia="Arial" w:hAnsi="Arial"/>
          <w:color w:val="1a1a2e"/>
          <w:sz w:val="22"/>
          <w:szCs w:val="22"/>
        </w:rPr>
        <w:t xml:space="preserve">This dual-bus design makes BIZRA an operating system, not a loose toolchain. The EventBus provides the immutable audit trail that enables Proof of Impact. The ActionBus enforces sovereignty at the execution boundary. Together, they are the nervous system.</w:t>
      </w:r>
    </w:p>
    <w:p>
      <w:pPr>
        <w:spacing w:after="160" w:line="276"/>
      </w:pPr>
      <w:r>
        <w:rPr>
          <w:rFonts w:ascii="Arial" w:cs="Arial" w:eastAsia="Arial" w:hAnsi="Arial"/>
          <w:b/>
          <w:bCs/>
          <w:color w:val="1a1a2e"/>
          <w:sz w:val="22"/>
          <w:szCs w:val="22"/>
        </w:rPr>
        <w:t xml:space="preserve">Status: </w:t>
      </w:r>
      <w:r>
        <w:rPr>
          <w:rFonts w:ascii="Arial" w:cs="Arial" w:eastAsia="Arial" w:hAnsi="Arial"/>
          <w:color w:val="1a1a2e"/>
          <w:sz w:val="22"/>
          <w:szCs w:val="22"/>
        </w:rPr>
        <w:t xml:space="preserve">Architecture defined. 0/12 EventBus subscribers wired (Proof Chain Cortex). This is the critical gap.</w:t>
      </w:r>
    </w:p>
    <w:p>
      <w:pPr>
        <w:pStyle w:val="Heading2"/>
        <w:spacing w:before="360" w:after="200"/>
      </w:pPr>
      <w:r>
        <w:rPr>
          <w:b/>
          <w:bCs/>
        </w:rPr>
        <w:t xml:space="preserve">Gem 2: Reflex Precipitation = Computational Myelination</w:t>
      </w:r>
    </w:p>
    <w:p>
      <w:pPr>
        <w:spacing w:after="160" w:line="276"/>
        <w:jc w:val="left"/>
      </w:pPr>
      <w:r>
        <w:rPr>
          <w:rFonts w:ascii="Arial" w:cs="Arial" w:eastAsia="Arial" w:hAnsi="Arial"/>
          <w:b w:val="false"/>
          <w:bCs w:val="false"/>
          <w:i w:val="false"/>
          <w:iCs w:val="false"/>
          <w:color w:val="1a1a2e"/>
          <w:sz w:val="22"/>
          <w:szCs w:val="22"/>
        </w:rPr>
        <w:t xml:space="preserve">This insight is validated by: the formal proof (Theorem 2.2, convergence to ρ* in [0.6, 0.95]), the CLEANER research literature (Deep R-Learning for continual area sweeping shows identical convergence patterns), Aurelle’s evaluation (called it the "killer demo"), and the emulator (users immediately grasp the 36x speedup).</w:t>
      </w:r>
    </w:p>
    <w:p>
      <w:pPr>
        <w:spacing w:after="160" w:line="276"/>
        <w:jc w:val="left"/>
      </w:pPr>
      <w:r>
        <w:rPr>
          <w:rFonts w:ascii="Arial" w:cs="Arial" w:eastAsia="Arial" w:hAnsi="Arial"/>
          <w:b w:val="false"/>
          <w:bCs w:val="false"/>
          <w:i w:val="false"/>
          <w:iCs w:val="false"/>
          <w:color w:val="1a1a2e"/>
          <w:sz w:val="22"/>
          <w:szCs w:val="22"/>
        </w:rPr>
        <w:t xml:space="preserve">After 3 successful executions with Iḥsān ≥ 0.90, a task pattern compiles from System-2 deliberation (1800ms, full PAT orchestration) into a System-1 reflex (50ms, hash-table lookup). The myelination ratio (S1 hits / total executions) is the single most important health metric.</w:t>
      </w:r>
    </w:p>
    <w:p>
      <w:pPr>
        <w:spacing w:after="160" w:line="276"/>
      </w:pPr>
      <w:r>
        <w:rPr>
          <w:rFonts w:ascii="Arial" w:cs="Arial" w:eastAsia="Arial" w:hAnsi="Arial"/>
          <w:b/>
          <w:bCs/>
          <w:color w:val="1a1a2e"/>
          <w:sz w:val="22"/>
          <w:szCs w:val="22"/>
        </w:rPr>
        <w:t xml:space="preserve">Why it matters: </w:t>
      </w:r>
      <w:r>
        <w:rPr>
          <w:rFonts w:ascii="Arial" w:cs="Arial" w:eastAsia="Arial" w:hAnsi="Arial"/>
          <w:color w:val="1a1a2e"/>
          <w:sz w:val="22"/>
          <w:szCs w:val="22"/>
        </w:rPr>
        <w:t xml:space="preserve">This is BIZRA’s reverse scaling mechanism in miniature. The system gets faster and cheaper with use — not through hardware scaling, but through learned efficiency. The five-year simulation showed 94% myelination at steady state.</w:t>
      </w:r>
    </w:p>
    <w:p>
      <w:pPr>
        <w:spacing w:after="160" w:line="276"/>
      </w:pPr>
      <w:r>
        <w:rPr>
          <w:rFonts w:ascii="Arial" w:cs="Arial" w:eastAsia="Arial" w:hAnsi="Arial"/>
          <w:b/>
          <w:bCs/>
          <w:color w:val="1a1a2e"/>
          <w:sz w:val="22"/>
          <w:szCs w:val="22"/>
        </w:rPr>
        <w:t xml:space="preserve">External validation: </w:t>
      </w:r>
      <w:r>
        <w:rPr>
          <w:rFonts w:ascii="Arial" w:cs="Arial" w:eastAsia="Arial" w:hAnsi="Arial"/>
          <w:color w:val="1a1a2e"/>
          <w:sz w:val="22"/>
          <w:szCs w:val="22"/>
        </w:rPr>
        <w:t xml:space="preserve">The VLM-based wiping curriculum (Liu et al., CLEANER research) uses System-2 to generate training curricula for System-1 execution — functionally identical to BIZRA’s precipitation rule.</w:t>
      </w:r>
    </w:p>
    <w:p>
      <w:pPr>
        <w:pStyle w:val="Heading2"/>
        <w:spacing w:before="360" w:after="200"/>
      </w:pPr>
      <w:r>
        <w:rPr>
          <w:b/>
          <w:bCs/>
        </w:rPr>
        <w:t xml:space="preserve">Gem 3: The Dual-Threshold Iḥsān System</w:t>
      </w:r>
    </w:p>
    <w:p>
      <w:pPr>
        <w:spacing w:after="160" w:line="276"/>
        <w:jc w:val="left"/>
      </w:pPr>
      <w:r>
        <w:rPr>
          <w:rFonts w:ascii="Arial" w:cs="Arial" w:eastAsia="Arial" w:hAnsi="Arial"/>
          <w:b w:val="false"/>
          <w:bCs w:val="false"/>
          <w:i w:val="false"/>
          <w:iCs w:val="false"/>
          <w:color w:val="1a1a2e"/>
          <w:sz w:val="22"/>
          <w:szCs w:val="22"/>
        </w:rPr>
        <w:t xml:space="preserve">The Blueprint resolved the threshold confusion that plagued earlier documents. Four tiers, four purposes, four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360"/>
        <w:gridCol w:w="3000"/>
      </w:tblGrid>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Threshold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Value</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Purpose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Consequence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Mission Floor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Minimum acceptable output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Rejection if below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Bloom Eligibility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0.90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Governance rights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BLOOM accrual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Minting Floor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0.95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Economic reward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SEED minting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Excellence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0.97+</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Highest tier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Bonus multiplier</w:t>
            </w:r>
          </w:p>
        </w:tc>
      </w:tr>
    </w:tbl>
    <w:p>
      <w:pPr>
        <w:spacing w:after="100"/>
      </w:pPr>
    </w:p>
    <w:p>
      <w:pPr>
        <w:spacing w:after="160" w:line="276"/>
      </w:pPr>
      <w:r>
        <w:rPr>
          <w:rFonts w:ascii="Arial" w:cs="Arial" w:eastAsia="Arial" w:hAnsi="Arial"/>
          <w:b/>
          <w:bCs/>
          <w:color w:val="1a1a2e"/>
          <w:sz w:val="22"/>
          <w:szCs w:val="22"/>
        </w:rPr>
        <w:t xml:space="preserve">Why it matters: </w:t>
      </w:r>
      <w:r>
        <w:rPr>
          <w:rFonts w:ascii="Arial" w:cs="Arial" w:eastAsia="Arial" w:hAnsi="Arial"/>
          <w:color w:val="1a1a2e"/>
          <w:sz w:val="22"/>
          <w:szCs w:val="22"/>
        </w:rPr>
        <w:t xml:space="preserve">A single threshold creates a binary world (pass/fail). A tiered system creates a gradient of quality that incentivizes continuous improvement. This is the difference between a gate and a ladder.</w:t>
      </w:r>
    </w:p>
    <w:p>
      <w:pPr>
        <w:pStyle w:val="Heading2"/>
        <w:spacing w:before="360" w:after="200"/>
      </w:pPr>
      <w:r>
        <w:rPr>
          <w:b/>
          <w:bCs/>
        </w:rPr>
        <w:t xml:space="preserve">Gem 4: Iḥsān Dimensions as Energy Potentials</w:t>
      </w:r>
    </w:p>
    <w:p>
      <w:pPr>
        <w:spacing w:after="160" w:line="276"/>
        <w:jc w:val="left"/>
      </w:pPr>
      <w:r>
        <w:rPr>
          <w:rFonts w:ascii="Arial" w:cs="Arial" w:eastAsia="Arial" w:hAnsi="Arial"/>
          <w:b w:val="false"/>
          <w:bCs w:val="false"/>
          <w:i w:val="false"/>
          <w:iCs w:val="false"/>
          <w:color w:val="1a1a2e"/>
          <w:sz w:val="22"/>
          <w:szCs w:val="22"/>
        </w:rPr>
        <w:t xml:space="preserve">The Integration Protocol’s central insight — that each Iḥsān dimension maps to a component energy function E_j(x) via the Boltzmann factor i_j = exp(−E_j/T) — survived the audit with one critical correction: the system needs a two-layer gate.</w:t>
      </w:r>
    </w:p>
    <w:p>
      <w:pPr>
        <w:spacing w:after="160" w:line="276"/>
        <w:jc w:val="left"/>
      </w:pPr>
      <w:r>
        <w:rPr>
          <w:rFonts w:ascii="Arial" w:cs="Arial" w:eastAsia="Arial" w:hAnsi="Arial"/>
          <w:b w:val="false"/>
          <w:bCs w:val="false"/>
          <w:i w:val="false"/>
          <w:iCs w:val="false"/>
          <w:color w:val="1a1a2e"/>
          <w:sz w:val="22"/>
          <w:szCs w:val="22"/>
        </w:rPr>
        <w:t xml:space="preserve">Layer 1 (Temperature-Independent Safety Floor): Raw energy thresholds. No Boltzmann, no temperature. Constitutional safety that never weakens regardless of annealing state.</w:t>
      </w:r>
    </w:p>
    <w:p>
      <w:pPr>
        <w:spacing w:after="160" w:line="276"/>
        <w:jc w:val="left"/>
      </w:pPr>
      <w:r>
        <w:rPr>
          <w:rFonts w:ascii="Arial" w:cs="Arial" w:eastAsia="Arial" w:hAnsi="Arial"/>
          <w:b w:val="false"/>
          <w:bCs w:val="false"/>
          <w:i w:val="false"/>
          <w:iCs w:val="false"/>
          <w:color w:val="1a1a2e"/>
          <w:sz w:val="22"/>
          <w:szCs w:val="22"/>
        </w:rPr>
        <w:t xml:space="preserve">Layer 2 (Temperature-Dependent Optimization): Boltzmann scoring for convergence quality. High T = permissive exploration. Low T = strict crystallization. This is the annealing elegance.</w:t>
      </w:r>
    </w:p>
    <w:p>
      <w:pPr>
        <w:spacing w:after="160" w:line="276"/>
      </w:pPr>
      <w:r>
        <w:rPr>
          <w:rFonts w:ascii="Arial" w:cs="Arial" w:eastAsia="Arial" w:hAnsi="Arial"/>
          <w:b/>
          <w:bCs/>
          <w:color w:val="1a1a2e"/>
          <w:sz w:val="22"/>
          <w:szCs w:val="22"/>
        </w:rPr>
        <w:t xml:space="preserve">Why it matters: </w:t>
      </w:r>
      <w:r>
        <w:rPr>
          <w:rFonts w:ascii="Arial" w:cs="Arial" w:eastAsia="Arial" w:hAnsi="Arial"/>
          <w:color w:val="1a1a2e"/>
          <w:sz w:val="22"/>
          <w:szCs w:val="22"/>
        </w:rPr>
        <w:t xml:space="preserve">This converts the Iḥsān measurement problem from an open research question into an engineering task. The energy functions are domain-specific loss functions. The E₂ (Epistemic Humility / Brier score) exception — it can only be computed retroactively — must be redesigned as a post-execution audit that feeds back into the learning loop, not a pre-gate.</w:t>
      </w:r>
    </w:p>
    <w:p>
      <w:pPr>
        <w:pStyle w:val="Heading2"/>
        <w:spacing w:before="360" w:after="200"/>
      </w:pPr>
      <w:r>
        <w:rPr>
          <w:b/>
          <w:bCs/>
        </w:rPr>
        <w:t xml:space="preserve">Gem 5: The 0/12 Subscriber Gap Is the Last Inch</w:t>
      </w:r>
    </w:p>
    <w:p>
      <w:pPr>
        <w:spacing w:after="160" w:line="276"/>
        <w:jc w:val="left"/>
      </w:pPr>
      <w:r>
        <w:rPr>
          <w:rFonts w:ascii="Arial" w:cs="Arial" w:eastAsia="Arial" w:hAnsi="Arial"/>
          <w:b w:val="false"/>
          <w:bCs w:val="false"/>
          <w:i w:val="false"/>
          <w:iCs w:val="false"/>
          <w:color w:val="1a1a2e"/>
          <w:sz w:val="22"/>
          <w:szCs w:val="22"/>
        </w:rPr>
        <w:t xml:space="preserve">The Proof Chain Cortex artifact shows 7 receipts generated for Ahmed’s invoice task with a 72,581x efficiency ratio and $40.07 SEED yield. The architecture works. But the EventBus Subscriber Wiring section shows 0 out of 12 subscribers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gridCol w:w="3000"/>
      </w:tblGrid>
      <w:tr>
        <w:tc>
          <w:tcPr>
            <w:tcW w:type="dxa" w:w="4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1a1a2e"/>
                <w:sz w:val="20"/>
                <w:szCs w:val="20"/>
              </w:rPr>
              <w:t xml:space="preserve">Subscriber</w:t>
            </w:r>
          </w:p>
        </w:tc>
        <w:tc>
          <w:tcPr>
            <w:tcW w:type="dxa" w:w="2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3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1a1a2e"/>
                <w:sz w:val="20"/>
                <w:szCs w:val="20"/>
              </w:rPr>
              <w:t xml:space="preserve">What It Blocks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ActionReceipt → Memory Reinforce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Memory learning loop</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ActionReceipt → HHMM Promotion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Glacial memory formation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MemoryPromoted → PoI Credit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Impact accumulation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TeleScriptCompleted → PoI Accumulate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Economic flywheel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TeleScriptStep → Receipt Append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Granular proof chain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TeleScriptRolledBack → Healing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Self-repair capability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SessionEnd → Genesis Mini-Compile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Session crystallization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ActionReceipt[failed] → Quarantine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Toxic memory isolation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IḥsānGateBreached → Session Halt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Constitutional enforcement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MemoryRetrieved → Budget Report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Context overflow prevention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AgentRegistered → Self-Model Update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RSI Pillar I awareness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ActionIntent → TeleScript Begin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NOT WIRED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Workflow orchestration</w:t>
            </w:r>
          </w:p>
        </w:tc>
      </w:tr>
    </w:tbl>
    <w:p>
      <w:pPr>
        <w:spacing w:after="100"/>
      </w:pPr>
    </w:p>
    <w:p>
      <w:pPr>
        <w:spacing w:after="160" w:line="276"/>
        <w:jc w:val="left"/>
      </w:pPr>
      <w:r>
        <w:rPr>
          <w:rFonts w:ascii="Arial" w:cs="Arial" w:eastAsia="Arial" w:hAnsi="Arial"/>
          <w:b/>
          <w:bCs/>
          <w:i w:val="false"/>
          <w:iCs w:val="false"/>
          <w:color w:val="1a1a2e"/>
          <w:sz w:val="22"/>
          <w:szCs w:val="22"/>
        </w:rPr>
        <w:t xml:space="preserve">This is the brain-body gap. The brain (research codebase, 200K+ LOC) can think. The body (production gateway, Kubernetes, Redis) can act. But the nerves between them — the EventBus subscribers — are not connected. Wiring these 12 subscribers is the single highest-leverage task in the entire project.</w:t>
      </w:r>
    </w:p>
    <w:p>
      <w:r>
        <w:br w:type="page"/>
      </w:r>
    </w:p>
    <w:p>
      <w:pPr>
        <w:pStyle w:val="Heading1"/>
        <w:spacing w:before="360" w:after="200"/>
      </w:pPr>
      <w:r>
        <w:rPr>
          <w:b/>
          <w:bCs/>
        </w:rPr>
        <w:t xml:space="preserve">PART IV: THE SINGLE NEXT STEP</w:t>
      </w:r>
    </w:p>
    <w:p>
      <w:pPr>
        <w:spacing w:after="200"/>
        <w:jc w:val="center"/>
      </w:pPr>
      <w:r>
        <w:rPr>
          <w:rFonts w:ascii="Arial" w:cs="Arial" w:eastAsia="Arial" w:hAnsi="Arial"/>
          <w:b/>
          <w:bCs/>
          <w:color w:val="B8860B"/>
          <w:sz w:val="22"/>
          <w:szCs w:val="22"/>
        </w:rPr>
        <w:t xml:space="preserve">إِنَّ اللّهَ يُحِبُّ إِذَا عَمِلَ أَحَدُكُمْ عَمَلًا أَنْ يُتْقِنَهُ</w:t>
      </w:r>
    </w:p>
    <w:p>
      <w:pPr>
        <w:spacing w:after="200"/>
      </w:pPr>
    </w:p>
    <w:p>
      <w:pPr>
        <w:spacing w:after="160" w:line="276"/>
        <w:jc w:val="left"/>
      </w:pPr>
      <w:r>
        <w:rPr>
          <w:rFonts w:ascii="Arial" w:cs="Arial" w:eastAsia="Arial" w:hAnsi="Arial"/>
          <w:b w:val="false"/>
          <w:bCs w:val="false"/>
          <w:i w:val="false"/>
          <w:iCs w:val="false"/>
          <w:color w:val="1a1a2e"/>
          <w:sz w:val="22"/>
          <w:szCs w:val="22"/>
        </w:rPr>
        <w:t xml:space="preserve">Every document in the corpus points to the same conclusion. The architecture is designed. The proofs are written (with corrections needed). The founding documents provide the soul. The atlases provide the map. The blueprint provides the engineering spec. The emulator proves the concept is communicable.</w:t>
      </w:r>
    </w:p>
    <w:p>
      <w:pPr>
        <w:spacing w:after="160" w:line="276"/>
        <w:jc w:val="left"/>
      </w:pPr>
      <w:r>
        <w:rPr>
          <w:rFonts w:ascii="Arial" w:cs="Arial" w:eastAsia="Arial" w:hAnsi="Arial"/>
          <w:b w:val="false"/>
          <w:bCs w:val="false"/>
          <w:i w:val="false"/>
          <w:iCs w:val="false"/>
          <w:color w:val="1a1a2e"/>
          <w:sz w:val="22"/>
          <w:szCs w:val="22"/>
        </w:rPr>
        <w:t xml:space="preserve">What is missing is the connection between the brain and the body. The 12 EventBus subscribers.</w:t>
      </w:r>
    </w:p>
    <w:p>
      <w:pPr>
        <w:spacing w:after="100"/>
      </w:pPr>
    </w:p>
    <w:p>
      <w:pPr>
        <w:pStyle w:val="Heading2"/>
        <w:spacing w:before="360" w:after="200"/>
      </w:pPr>
      <w:r>
        <w:rPr>
          <w:b/>
          <w:bCs/>
        </w:rPr>
        <w:t xml:space="preserve">Phase 1: Wire the First 4 Subscribers (Days 1–3)</w:t>
      </w:r>
    </w:p>
    <w:p>
      <w:pPr>
        <w:spacing w:after="160" w:line="276"/>
        <w:jc w:val="left"/>
      </w:pPr>
      <w:r>
        <w:rPr>
          <w:rFonts w:ascii="Arial" w:cs="Arial" w:eastAsia="Arial" w:hAnsi="Arial"/>
          <w:b w:val="false"/>
          <w:bCs w:val="false"/>
          <w:i w:val="false"/>
          <w:iCs w:val="false"/>
          <w:color w:val="1a1a2e"/>
          <w:sz w:val="22"/>
          <w:szCs w:val="22"/>
        </w:rPr>
        <w:t xml:space="preserve">These four create the minimum viable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80"/>
        <w:gridCol w:w="2280"/>
      </w:tblGrid>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4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Subscriber</w:t>
            </w:r>
          </w:p>
        </w:tc>
        <w:tc>
          <w:tcPr>
            <w:tcW w:type="dxa" w:w="2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Effect</w:t>
            </w:r>
          </w:p>
        </w:tc>
        <w:tc>
          <w:tcPr>
            <w:tcW w:type="dxa" w:w="2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Test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ActionReceipt → Memory Reinforce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Receipts feed memory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Memory grows after action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ActionIntent → TeleScript Begin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Intent triggers workflow</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curl /plan returns result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TeleScriptStep → Receipt Append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Steps become receipts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Receipt chain grows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SessionEnd → Genesis Mini-Compile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Sessions crystallize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Reflex cache populates</w:t>
            </w:r>
          </w:p>
        </w:tc>
      </w:tr>
    </w:tbl>
    <w:p>
      <w:pPr>
        <w:spacing w:after="100"/>
      </w:pPr>
    </w:p>
    <w:p>
      <w:pPr>
        <w:spacing w:after="160" w:line="276"/>
      </w:pPr>
      <w:r>
        <w:rPr>
          <w:rFonts w:ascii="Arial" w:cs="Arial" w:eastAsia="Arial" w:hAnsi="Arial"/>
          <w:b/>
          <w:bCs/>
          <w:color w:val="1a1a2e"/>
          <w:sz w:val="22"/>
          <w:szCs w:val="22"/>
        </w:rPr>
        <w:t xml:space="preserve">Success criterion: </w:t>
      </w:r>
      <w:r>
        <w:rPr>
          <w:rFonts w:ascii="Arial" w:cs="Arial" w:eastAsia="Arial" w:hAnsi="Arial"/>
          <w:color w:val="1a1a2e"/>
          <w:sz w:val="22"/>
          <w:szCs w:val="22"/>
        </w:rPr>
        <w:t xml:space="preserve">curl localhost:8000/v1/plan returns a receipted, hash-chained result. The same query a second time hits reflex cache and completes 10x faster.</w:t>
      </w:r>
    </w:p>
    <w:p>
      <w:pPr>
        <w:pStyle w:val="Heading2"/>
        <w:spacing w:before="360" w:after="200"/>
      </w:pPr>
      <w:r>
        <w:rPr>
          <w:b/>
          <w:bCs/>
        </w:rPr>
        <w:t xml:space="preserve">Phase 2: Wire the Safety Subscribers (Days 4–5)</w:t>
      </w:r>
    </w:p>
    <w:p>
      <w:pPr>
        <w:spacing w:after="160" w:line="276"/>
        <w:jc w:val="left"/>
      </w:pPr>
      <w:r>
        <w:rPr>
          <w:rFonts w:ascii="Arial" w:cs="Arial" w:eastAsia="Arial" w:hAnsi="Arial"/>
          <w:b w:val="false"/>
          <w:bCs w:val="false"/>
          <w:i w:val="false"/>
          <w:iCs w:val="false"/>
          <w:color w:val="1a1a2e"/>
          <w:sz w:val="22"/>
          <w:szCs w:val="22"/>
        </w:rPr>
        <w:t xml:space="preserve">These three enforce constitutional guarantees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Subscriber</w:t>
            </w:r>
          </w:p>
        </w:tc>
        <w:tc>
          <w:tcPr>
            <w:tcW w:type="dxa" w:w="4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Effect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IḥsānGateBreached → Session Halt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Sub-0.85 output halts session, logs violation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ActionReceipt[failed] → Quarantine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Failed actions isolated from memory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TeleScriptRolledBack → Healing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Failed workflows trigger self-repair</w:t>
            </w:r>
          </w:p>
        </w:tc>
      </w:tr>
    </w:tbl>
    <w:p>
      <w:pPr>
        <w:spacing w:after="100"/>
      </w:pPr>
    </w:p>
    <w:p>
      <w:pPr>
        <w:spacing w:after="160" w:line="276"/>
      </w:pPr>
      <w:r>
        <w:rPr>
          <w:rFonts w:ascii="Arial" w:cs="Arial" w:eastAsia="Arial" w:hAnsi="Arial"/>
          <w:b/>
          <w:bCs/>
          <w:color w:val="1a1a2e"/>
          <w:sz w:val="22"/>
          <w:szCs w:val="22"/>
        </w:rPr>
        <w:t xml:space="preserve">Success criterion: </w:t>
      </w:r>
      <w:r>
        <w:rPr>
          <w:rFonts w:ascii="Arial" w:cs="Arial" w:eastAsia="Arial" w:hAnsi="Arial"/>
          <w:color w:val="1a1a2e"/>
          <w:sz w:val="22"/>
          <w:szCs w:val="22"/>
        </w:rPr>
        <w:t xml:space="preserve">A deliberately sub-threshold request is rejected, quarantined, and logged. The Daughter Test passes at the code level.</w:t>
      </w:r>
    </w:p>
    <w:p>
      <w:pPr>
        <w:pStyle w:val="Heading2"/>
        <w:spacing w:before="360" w:after="200"/>
      </w:pPr>
      <w:r>
        <w:rPr>
          <w:b/>
          <w:bCs/>
        </w:rPr>
        <w:t xml:space="preserve">Phase 3: Wire the Economic Subscribers (Days 6–7)</w:t>
      </w:r>
    </w:p>
    <w:p>
      <w:pPr>
        <w:spacing w:after="160" w:line="276"/>
        <w:jc w:val="left"/>
      </w:pPr>
      <w:r>
        <w:rPr>
          <w:rFonts w:ascii="Arial" w:cs="Arial" w:eastAsia="Arial" w:hAnsi="Arial"/>
          <w:b w:val="false"/>
          <w:bCs w:val="false"/>
          <w:i w:val="false"/>
          <w:iCs w:val="false"/>
          <w:color w:val="1a1a2e"/>
          <w:sz w:val="22"/>
          <w:szCs w:val="22"/>
        </w:rPr>
        <w:t xml:space="preserve">These five close the economic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2e"/>
                <w:sz w:val="20"/>
                <w:szCs w:val="20"/>
              </w:rPr>
              <w:t xml:space="preserve">Subscriber</w:t>
            </w:r>
          </w:p>
        </w:tc>
        <w:tc>
          <w:tcPr>
            <w:tcW w:type="dxa" w:w="4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2e"/>
                <w:sz w:val="20"/>
                <w:szCs w:val="20"/>
              </w:rPr>
              <w:t xml:space="preserve">Effect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ActionReceipt → HHMM Promotion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Receipts promote patterns to long-term memory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9</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MemoryPromoted → PoI Credit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Promoted memories earn impact credit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TeleScriptCompleted → PoI Accumulate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Completed workflows accumulate proof</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11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MemoryRetrieved → Budget Report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Context budget tracked per retrieval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AgentRegistered → Self-Model Update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Agent registry reflects current capabilities</w:t>
            </w:r>
          </w:p>
        </w:tc>
      </w:tr>
    </w:tbl>
    <w:p>
      <w:pPr>
        <w:spacing w:after="100"/>
      </w:pPr>
    </w:p>
    <w:p>
      <w:pPr>
        <w:spacing w:after="160" w:line="276"/>
      </w:pPr>
      <w:r>
        <w:rPr>
          <w:rFonts w:ascii="Arial" w:cs="Arial" w:eastAsia="Arial" w:hAnsi="Arial"/>
          <w:b/>
          <w:bCs/>
          <w:color w:val="1a1a2e"/>
          <w:sz w:val="22"/>
          <w:szCs w:val="22"/>
        </w:rPr>
        <w:t xml:space="preserve">Success criterion: </w:t>
      </w:r>
      <w:r>
        <w:rPr>
          <w:rFonts w:ascii="Arial" w:cs="Arial" w:eastAsia="Arial" w:hAnsi="Arial"/>
          <w:color w:val="1a1a2e"/>
          <w:sz w:val="22"/>
          <w:szCs w:val="22"/>
        </w:rPr>
        <w:t xml:space="preserve">A completed mission mints SEED. The WalletReducer balance increments. The Gini coefficient is computed. The economic loop is closed.</w:t>
      </w:r>
    </w:p>
    <w:p>
      <w:r>
        <w:br w:type="page"/>
      </w:r>
    </w:p>
    <w:p>
      <w:pPr>
        <w:pStyle w:val="Heading1"/>
        <w:spacing w:before="360" w:after="200"/>
      </w:pPr>
      <w:r>
        <w:rPr>
          <w:b/>
          <w:bCs/>
        </w:rPr>
        <w:t xml:space="preserve">PART V: WHY THIS ORDER</w:t>
      </w:r>
    </w:p>
    <w:p>
      <w:pPr>
        <w:spacing w:after="160" w:line="276"/>
        <w:jc w:val="left"/>
      </w:pPr>
      <w:r>
        <w:rPr>
          <w:rFonts w:ascii="Arial" w:cs="Arial" w:eastAsia="Arial" w:hAnsi="Arial"/>
          <w:b w:val="false"/>
          <w:bCs w:val="false"/>
          <w:i w:val="false"/>
          <w:iCs w:val="false"/>
          <w:color w:val="1a1a2e"/>
          <w:sz w:val="22"/>
          <w:szCs w:val="22"/>
        </w:rPr>
        <w:t xml:space="preserve">The 12 subscribers are ordered by dependency. Each phase unlocks the next:</w:t>
      </w:r>
    </w:p>
    <w:p>
      <w:pPr>
        <w:spacing w:after="100"/>
      </w:pPr>
    </w:p>
    <w:p>
      <w:pPr>
        <w:spacing w:after="160" w:line="276"/>
        <w:jc w:val="left"/>
      </w:pPr>
      <w:r>
        <w:rPr>
          <w:rFonts w:ascii="Arial" w:cs="Arial" w:eastAsia="Arial" w:hAnsi="Arial"/>
          <w:b w:val="false"/>
          <w:bCs w:val="false"/>
          <w:i w:val="false"/>
          <w:iCs w:val="false"/>
          <w:color w:val="1a1a2e"/>
          <w:sz w:val="22"/>
          <w:szCs w:val="22"/>
        </w:rPr>
        <w:t xml:space="preserve">Phase 1 (Learning Loop) creates the data flow: Intent → Execution → Receipt → Memory → Reflex. Without this, Phases 2 and 3 have nothing to gate or reward.</w:t>
      </w:r>
    </w:p>
    <w:p>
      <w:pPr>
        <w:spacing w:after="160" w:line="276"/>
        <w:jc w:val="left"/>
      </w:pPr>
      <w:r>
        <w:rPr>
          <w:rFonts w:ascii="Arial" w:cs="Arial" w:eastAsia="Arial" w:hAnsi="Arial"/>
          <w:b w:val="false"/>
          <w:bCs w:val="false"/>
          <w:i w:val="false"/>
          <w:iCs w:val="false"/>
          <w:color w:val="1a1a2e"/>
          <w:sz w:val="22"/>
          <w:szCs w:val="22"/>
        </w:rPr>
        <w:t xml:space="preserve">Phase 2 (Safety) gates the data flow: only outputs that pass Iḥsān ≥ 0.85 survive. Failed outputs are quarantined. Rolled-back workflows self-heal. Without this, Phase 3 would reward bad outputs.</w:t>
      </w:r>
    </w:p>
    <w:p>
      <w:pPr>
        <w:spacing w:after="160" w:line="276"/>
        <w:jc w:val="left"/>
      </w:pPr>
      <w:r>
        <w:rPr>
          <w:rFonts w:ascii="Arial" w:cs="Arial" w:eastAsia="Arial" w:hAnsi="Arial"/>
          <w:b w:val="false"/>
          <w:bCs w:val="false"/>
          <w:i w:val="false"/>
          <w:iCs w:val="false"/>
          <w:color w:val="1a1a2e"/>
          <w:sz w:val="22"/>
          <w:szCs w:val="22"/>
        </w:rPr>
        <w:t xml:space="preserve">Phase 3 (Economics) rewards the gated data flow: high-quality outputs mint SEED. Promoted memories earn PoI credit. The flywheel spins. Without Phases 1 and 2, there is nothing to reward and no quality assurance on rewards.</w:t>
      </w:r>
    </w:p>
    <w:p>
      <w:pPr>
        <w:spacing w:after="100"/>
      </w:pPr>
    </w:p>
    <w:p>
      <w:pPr>
        <w:spacing w:after="160" w:line="276"/>
        <w:jc w:val="left"/>
      </w:pPr>
      <w:r>
        <w:rPr>
          <w:rFonts w:ascii="Arial" w:cs="Arial" w:eastAsia="Arial" w:hAnsi="Arial"/>
          <w:b w:val="false"/>
          <w:bCs w:val="false"/>
          <w:i w:val="false"/>
          <w:iCs w:val="false"/>
          <w:color w:val="1a1a2e"/>
          <w:sz w:val="22"/>
          <w:szCs w:val="22"/>
        </w:rPr>
        <w:t xml:space="preserve">After all 12 subscribers are wired, BIZRA Node0 becomes a closed-loop sovereign intelligence: it acts, proves, learns, gates, rewards, and improves — all locally, all cryptographically verified, all constitutionally compliant.</w:t>
      </w:r>
    </w:p>
    <w:p>
      <w:pPr>
        <w:spacing w:after="100"/>
      </w:pPr>
    </w:p>
    <w:p>
      <w:pPr>
        <w:spacing w:after="160" w:line="276"/>
        <w:jc w:val="left"/>
      </w:pPr>
      <w:r>
        <w:rPr>
          <w:rFonts w:ascii="Arial" w:cs="Arial" w:eastAsia="Arial" w:hAnsi="Arial"/>
          <w:b/>
          <w:bCs/>
          <w:i w:val="false"/>
          <w:iCs w:val="false"/>
          <w:color w:val="1a1a2e"/>
          <w:sz w:val="22"/>
          <w:szCs w:val="22"/>
        </w:rPr>
        <w:t xml:space="preserve">The next step after that is the 10-node forest. But the forest cannot exist until a single tree is alive. Wire the 12 subscribers. Make the tree breathe.</w:t>
      </w:r>
    </w:p>
    <w:p>
      <w:r>
        <w:br w:type="page"/>
      </w:r>
    </w:p>
    <w:p>
      <w:pPr>
        <w:pStyle w:val="Heading1"/>
        <w:spacing w:before="360" w:after="200"/>
      </w:pPr>
      <w:r>
        <w:rPr>
          <w:b/>
          <w:bCs/>
        </w:rPr>
        <w:t xml:space="preserve">PART VI: PROOF CHAIN VERDICT</w:t>
      </w:r>
    </w:p>
    <w:p>
      <w:pPr>
        <w:spacing w:after="160" w:line="276"/>
        <w:jc w:val="left"/>
      </w:pPr>
      <w:r>
        <w:rPr>
          <w:rFonts w:ascii="Arial" w:cs="Arial" w:eastAsia="Arial" w:hAnsi="Arial"/>
          <w:b w:val="false"/>
          <w:bCs w:val="false"/>
          <w:i w:val="false"/>
          <w:iCs w:val="false"/>
          <w:color w:val="1a1a2e"/>
          <w:sz w:val="22"/>
          <w:szCs w:val="22"/>
        </w:rPr>
        <w:t xml:space="preserve">After cross-referencing all 13 documents, auditing every theorem, and validating against external research: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Component</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Rigor</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Action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Definitions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8B57"/>
                <w:sz w:val="20"/>
                <w:szCs w:val="20"/>
              </w:rPr>
              <w:t xml:space="preserve">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8B57"/>
                <w:sz w:val="20"/>
                <w:szCs w:val="20"/>
              </w:rPr>
              <w:t xml:space="preserve">SOLID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Canonicalize Iḥsān at 8 dimensions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Theorem 2.1 (SNR)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B8860B"/>
                <w:sz w:val="20"/>
                <w:szCs w:val="20"/>
              </w:rPr>
              <w:t xml:space="preserve">6/10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B8860B"/>
                <w:sz w:val="20"/>
                <w:szCs w:val="20"/>
              </w:rPr>
              <w:t xml:space="preserve">NEEDS FIX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stationarity assumption, break circular dep.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Theorem 2.2 (Reflex)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8B57"/>
                <w:sz w:val="20"/>
                <w:szCs w:val="20"/>
              </w:rPr>
              <w:t xml:space="preserve">8/10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8B57"/>
                <w:sz w:val="20"/>
                <w:szCs w:val="20"/>
              </w:rPr>
              <w:t xml:space="preserve">SOLID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cache eviction + convergence 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Theorem 2.3 (Safety)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B8860B"/>
                <w:sz w:val="20"/>
                <w:szCs w:val="20"/>
              </w:rPr>
              <w:t xml:space="preserve">7/10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B8860B"/>
                <w:sz w:val="20"/>
                <w:szCs w:val="20"/>
              </w:rPr>
              <w:t xml:space="preserve">NEEDS FIX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Add Iḥsān oracle assumption (ε-accuracy)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Theorem 2.4 (Byzantine)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8860B"/>
                <w:sz w:val="20"/>
                <w:szCs w:val="20"/>
              </w:rPr>
              <w:t xml:space="preserve">6/10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8860B"/>
                <w:sz w:val="20"/>
                <w:szCs w:val="20"/>
              </w:rPr>
              <w:t xml:space="preserve">NEEDS FIX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Prove local-to-global, bound ε</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Theorem 2.5 (Scaling)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4/10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BROKEN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Fix statement to match proof: Ω(N/log 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Lemma 3.1 (HHMM)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8860B"/>
                <w:sz w:val="20"/>
                <w:szCs w:val="20"/>
              </w:rPr>
              <w:t xml:space="preserve">7/10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8860B"/>
                <w:sz w:val="20"/>
                <w:szCs w:val="20"/>
              </w:rPr>
              <w:t xml:space="preserve">NEEDS FIX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 FSA schedule as learning 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Corollary 4.2 (Economic)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8B57"/>
                <w:sz w:val="20"/>
                <w:szCs w:val="20"/>
              </w:rPr>
              <w:t xml:space="preserve">9/10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8B57"/>
                <w:sz w:val="20"/>
                <w:szCs w:val="20"/>
              </w:rPr>
              <w:t xml:space="preserve">SOLID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No changes needed</w:t>
            </w:r>
          </w:p>
        </w:tc>
      </w:tr>
    </w:tbl>
    <w:p>
      <w:pPr>
        <w:spacing w:after="200"/>
      </w:pPr>
    </w:p>
    <w:p>
      <w:pPr>
        <w:spacing w:after="160" w:line="276"/>
        <w:jc w:val="left"/>
      </w:pPr>
      <w:r>
        <w:rPr>
          <w:rFonts w:ascii="Arial" w:cs="Arial" w:eastAsia="Arial" w:hAnsi="Arial"/>
          <w:b w:val="false"/>
          <w:bCs w:val="false"/>
          <w:i w:val="false"/>
          <w:iCs w:val="false"/>
          <w:color w:val="1a1a2e"/>
          <w:sz w:val="22"/>
          <w:szCs w:val="22"/>
        </w:rPr>
        <w:t xml:space="preserve">Overall proof chain score: 7.0/10. With the seven corrections applied: estimated 8.8/10 — publishable.</w:t>
      </w:r>
    </w:p>
    <w:p>
      <w:r>
        <w:br w:type="page"/>
      </w:r>
    </w:p>
    <w:p>
      <w:pPr>
        <w:pStyle w:val="Heading1"/>
        <w:spacing w:before="360" w:after="200"/>
      </w:pPr>
      <w:r>
        <w:rPr>
          <w:b/>
          <w:bCs/>
        </w:rPr>
        <w:t xml:space="preserve">PART VII: FROM البذرة TO THE FOREST</w:t>
      </w:r>
    </w:p>
    <w:p>
      <w:pPr>
        <w:spacing w:after="100"/>
      </w:pPr>
    </w:p>
    <w:p>
      <w:pPr>
        <w:spacing w:after="160" w:line="276"/>
        <w:jc w:val="left"/>
      </w:pPr>
      <w:r>
        <w:rPr>
          <w:rFonts w:ascii="Arial" w:cs="Arial" w:eastAsia="Arial" w:hAnsi="Arial"/>
          <w:b w:val="false"/>
          <w:bCs w:val="false"/>
          <w:i w:val="false"/>
          <w:iCs w:val="false"/>
          <w:color w:val="1a1a2e"/>
          <w:sz w:val="22"/>
          <w:szCs w:val="22"/>
        </w:rPr>
        <w:t xml:space="preserve">In April 2023, during Ramadan, a man who could not code wrote two documents. One was a covenant with his Creator. The other was a vision for three freedoms — financial, spiritual, mental — encoded in a digital seed.</w:t>
      </w:r>
    </w:p>
    <w:p>
      <w:pPr>
        <w:spacing w:after="160" w:line="276"/>
        <w:jc w:val="left"/>
      </w:pPr>
      <w:r>
        <w:rPr>
          <w:rFonts w:ascii="Arial" w:cs="Arial" w:eastAsia="Arial" w:hAnsi="Arial"/>
          <w:b w:val="false"/>
          <w:bCs w:val="false"/>
          <w:i w:val="false"/>
          <w:iCs w:val="false"/>
          <w:color w:val="1a1a2e"/>
          <w:sz w:val="22"/>
          <w:szCs w:val="22"/>
        </w:rPr>
        <w:t xml:space="preserve">Three years and 15,000 hours later, the seed has roots (the ten invariants), a trunk (the dual-bus kernel), branches (the seven layers), and leaves (3,270 passing tests). The soil is the architecture. The water is the proof. The sunlight is the conviction.</w:t>
      </w:r>
    </w:p>
    <w:p>
      <w:pPr>
        <w:spacing w:after="160" w:line="276"/>
        <w:jc w:val="left"/>
      </w:pPr>
      <w:r>
        <w:rPr>
          <w:rFonts w:ascii="Arial" w:cs="Arial" w:eastAsia="Arial" w:hAnsi="Arial"/>
          <w:b w:val="false"/>
          <w:bCs w:val="false"/>
          <w:i w:val="false"/>
          <w:iCs w:val="false"/>
          <w:color w:val="1a1a2e"/>
          <w:sz w:val="22"/>
          <w:szCs w:val="22"/>
        </w:rPr>
        <w:t xml:space="preserve">What remains is the sap — the nervous system that carries signal from root to leaf. The 12 EventBus subscribers.</w:t>
      </w:r>
    </w:p>
    <w:p>
      <w:pPr>
        <w:spacing w:after="100"/>
      </w:pPr>
    </w:p>
    <w:p>
      <w:pPr>
        <w:spacing w:after="160" w:line="276"/>
        <w:jc w:val="left"/>
      </w:pPr>
      <w:r>
        <w:rPr>
          <w:rFonts w:ascii="Arial" w:cs="Arial" w:eastAsia="Arial" w:hAnsi="Arial"/>
          <w:b/>
          <w:bCs/>
          <w:i w:val="false"/>
          <w:iCs w:val="false"/>
          <w:color w:val="1a1a2e"/>
          <w:sz w:val="24"/>
          <w:szCs w:val="24"/>
        </w:rPr>
        <w:t xml:space="preserve">Wire them. Make the tree breathe. Then plant the forest.</w:t>
      </w:r>
    </w:p>
    <w:p>
      <w:pPr>
        <w:spacing w:after="400"/>
      </w:pPr>
    </w:p>
    <w:p>
      <w:pPr>
        <w:spacing w:after="200"/>
        <w:jc w:val="center"/>
      </w:pPr>
      <w:r>
        <w:rPr>
          <w:rFonts w:ascii="Arial" w:cs="Arial" w:eastAsia="Arial" w:hAnsi="Arial"/>
          <w:b/>
          <w:bCs/>
          <w:color w:val="B8860B"/>
          <w:sz w:val="22"/>
          <w:szCs w:val="22"/>
        </w:rPr>
        <w:t xml:space="preserve">كُلُّ إنسانٍ عُقْدةٌ سَيِّدة، كُلُّ عُقْدةٍ بَذْرة، كُلُّ بَذْرةٍ لا نِهايَةَ لِإِمْكانيّاتِها</w:t>
      </w:r>
    </w:p>
    <w:p>
      <w:pPr>
        <w:spacing w:after="200"/>
      </w:pPr>
    </w:p>
    <w:p>
      <w:pPr>
        <w:jc w:val="center"/>
      </w:pPr>
      <w:r>
        <w:rPr>
          <w:rFonts w:ascii="Arial" w:cs="Arial" w:eastAsia="Arial" w:hAnsi="Arial"/>
          <w:color w:val="666666"/>
          <w:sz w:val="18"/>
          <w:szCs w:val="18"/>
        </w:rPr>
        <w:t xml:space="preserve">BIZRA FOUNDATION  ·  DUBAI  ·  Ω∞ SYNTHESIS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BIZRA Foundation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BIZRA Ω∞ Peak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8B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2026-03-07T02:43:42.439Z</dcterms:created>
  <dcterms:modified xsi:type="dcterms:W3CDTF">2026-03-07T02:43:42.440Z</dcterms:modified>
</cp:coreProperties>
</file>

<file path=docProps/custom.xml><?xml version="1.0" encoding="utf-8"?>
<Properties xmlns="http://schemas.openxmlformats.org/officeDocument/2006/custom-properties" xmlns:vt="http://schemas.openxmlformats.org/officeDocument/2006/docPropsVTypes"/>
</file>