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IEEETitle"/>
      </w:pPr>
      <w:r>
        <w:t xml:space="preserve">FaceGuard: Continuous Face Authentication With a Homography-Parallax Liveness Cue for Commodity Webcams</w:t>
      </w:r>
    </w:p>
    <w:p>
      <w:pPr>
        <w:pStyle w:val="IEEEAuthors"/>
        <w:sectPr>
          <w:headerReference w:type="default" r:id="rId11"/>
          <w:pgSz w:w="12240" w:h="15840"/>
          <w:pgMar w:top="1080" w:right="965" w:bottom="1080" w:left="965" w:header="580" w:footer="580" w:gutter="0"/>
          <w:cols w:num="1" w:space="230"/>
        </w:sectPr>
      </w:pPr>
      <w:r>
        <w:t xml:space="preserve">First A. Author, </w:t>
      </w:r>
      <w:r>
        <w:rPr>
          <w:i/>
          <w:iCs/>
        </w:rPr>
        <w:t xml:space="preserve">Student Member, IEEE,</w:t>
      </w:r>
      <w:r>
        <w:t xml:space="preserve"> </w:t>
      </w:r>
      <w:r>
        <w:t xml:space="preserve">and Second B. Author</w:t>
      </w:r>
    </w:p>
    <w:p>
      <w:pPr>
        <w:pStyle w:val="IEEEAbstract"/>
      </w:pPr>
      <w:r>
        <w:rPr>
          <w:b/>
          <w:i/>
        </w:rPr>
        <w:t xml:space="preserve">Abstract—</w:t>
      </w:r>
      <w:r>
        <w:t xml:space="preserve"/>
      </w:r>
      <w:r>
        <w:t xml:space="preserve"/>
      </w:r>
      <w:r>
        <w:rPr>
          <w:rStyle w:val="FootnoteReference"/>
        </w:rPr>
        <w:footnoteReference w:id="9" w:customMarkFollows="1"/>
      </w:r>
      <w:r>
        <w:t xml:space="preserve">Windows face sign-in requires an infrared camera because a photograph can deceive an ordinary RGB webcam, so most laptops offer no face-based protection. We present FaceGuard, a CPU-only system that adds face recognition, a liveness check and continuous presence authentication to any webcam while leaving password or PIN sign-in untouched. We show that a steeply tilted print can push the five-landmark yaw estimate past a head-turn threshold, because perspective slants the eye line and roll compensation turns the vertical nose offset into apparent yaw, and we propose a homography-parallax cue that is exactly zero for planar presentations under a pinhole camera. In a Monte-Carlo evaluation on 150 held-out 3-D face meshes, a protocol combining this cue with ordered, timed challenges rejected every flat and bent print and admitted 15.2% of replays containing every action, against 75.7%–88.8% for head-turn, blink and random-challenge baselines, while rejecting 1.4% of live users. The pipeline reaches 99.43% verification accuracy on Labeled Faces in the Wild (LFW) and an equal error rate of 0.21% on laptop-webcam images recorded over weeks, but its false-match rate is up to 25 times higher for some demographic groups. In simulated webcam streams a presence guard caused no false lock in 10.0 h and locked out 97.0% of strangers after a median of 2.75 s. A real-world pilot with a laptop webcam exposed two faults that simulation had missed, which we corrected, and rejected all 15 phone-screen attacks.</w:t>
      </w:r>
    </w:p>
    <w:p>
      <w:pPr>
        <w:pStyle w:val="IEEEAbstract"/>
        <w:spacing w:after="200"/>
      </w:pPr>
      <w:r>
        <w:rPr>
          <w:b/>
          <w:i/>
        </w:rPr>
        <w:t xml:space="preserve">Index Terms—</w:t>
      </w:r>
      <w:r>
        <w:t xml:space="preserve">Continuous authentication, face liveness, homography parallax, presentation attacks, open-set face identification, deauthentication, template protection.</w:t>
      </w:r>
    </w:p>
    <w:bookmarkStart w:id="10" w:name="introduction"/>
    <w:p>
      <w:pPr>
        <w:pStyle w:val="Heading1"/>
      </w:pPr>
      <w:r>
        <w:t xml:space="preserve">Introduction</w:t>
      </w:r>
    </w:p>
    <w:p>
      <w:pPr>
        <w:framePr w:dropCap="drop" w:lines="2" w:wrap="around" w:vAnchor="text" w:hAnchor="text"/>
        <w:spacing w:line="455" w:lineRule="exact"/>
        <w:ind w:firstLine="0"/>
      </w:pPr>
      <w:r>
        <w:rPr>
          <w:position w:val="-3"/>
          <w:sz w:val="56"/>
        </w:rPr>
        <w:t>L</w:t>
      </w:r>
    </w:p>
    <w:p>
      <w:pPr>
        <w:pStyle w:val="FirstParagraph"/>
        <w:ind w:firstLine="0"/>
      </w:pPr>
      <w:r>
        <w:t xml:space="preserve">EAVING a workstation unlocked, even briefly, hands the whole session to whoever sits down next, including open e-mail, stored passwords and single-sign-on tokens. Idle timeouts and manual locking depend on the user, and a timeout long enough to be tolerable is too long to stop an opportunistic insider. Continuous authentication re-checks the user’s presence after login, for instance with soft biometrics seen by a webcam [1] or with wrist-worn and wireless signals that reveal when the user walks away [2], [3]; a recent review of biometric continuous authentication is given in [4].</w:t>
      </w:r>
    </w:p>
    <w:p>
      <w:pPr>
        <w:pStyle w:val="BodyText"/>
      </w:pPr>
      <w:r>
        <w:t xml:space="preserve">On a laptop the face is the obvious signal: a camera already points at the user, and deep face recognition is highly accurate [5], [6]. Windows Hello, however, allows face sign-in only with a near-infrared (IR) camera and requires impostors to be accepted in fewer than 0.001% of attempts while more than 95% of genuine attempts succeed [7]. In front of a plain RGB webcam a photograph or a phone screen can stand in for the user [8], so replacing the operating-system (OS) password with an RGB face match would make the machine easier to break into. FaceGuard therefore keeps the password or PIN as the only way to unlock the OS and uses the webcam for protections that stay safe even if the face matcher is fooled: the PC locks when its owner leaves, a stranger who sits down is photographed and locked out, a person reading over the owner’s shoulder triggers a warning, the locked screen stays watched, and user-level applications or scripts can request a liveness-checked face unlock.</w:t>
      </w:r>
    </w:p>
    <w:p>
      <w:pPr>
        <w:pStyle w:val="BodyText"/>
      </w:pPr>
      <w:r>
        <w:t xml:space="preserve">A head-turn challenge needs an estimate of head yaw. When only the five landmarks returned by a face detector are available, the simplest estimate is the sideways offset of the nose from the midpoint of the eyes, a geometric cue of the kind surveyed in [9]. We show that a photograph tilted strongly towards the camera undergoes a keystone distortion that slants the eye line; when the estimator removes this apparent roll, part of the vertical nose offset becomes a sideways offset that resembles a real head turn. To close this gap we introduce a parallax test based on a four-point homography, which is exactly zero for a flat presentation however it is moved. Our contributions are as follows:</w:t>
      </w:r>
    </w:p>
    <w:p>
      <w:pPr>
        <w:numPr>
          <w:ilvl w:val="0"/>
          <w:numId w:val="1001"/>
        </w:numPr>
      </w:pPr>
      <w:r>
        <w:t xml:space="preserve">An analysis of perspective-induced roll leakage in five-landmark yaw estimation and a homography-parallax liveness cue with a proof of planar invariance, calibrated and evaluated on disjoint sets of real 3-D face meshes.</w:t>
      </w:r>
    </w:p>
    <w:p>
      <w:pPr>
        <w:numPr>
          <w:ilvl w:val="0"/>
          <w:numId w:val="1001"/>
        </w:numPr>
      </w:pPr>
      <w:r>
        <w:t xml:space="preserve">A randomized challenge-response protocol with order enforcement and response timing, compared with three conventional protocols in one Monte-Carlo simulation, with an ablation of every defense.</w:t>
      </w:r>
    </w:p>
    <w:p>
      <w:pPr>
        <w:numPr>
          <w:ilvl w:val="0"/>
          <w:numId w:val="1001"/>
        </w:numPr>
      </w:pPr>
      <w:r>
        <w:t xml:space="preserve">A CPU-only face recognition and continuous authentication system for ordinary webcams, with open-set top-</w:t>
      </w:r>
      <m:oMath>
        <m:r>
          <m:t>k</m:t>
        </m:r>
      </m:oMath>
      <w:r>
        <w:t xml:space="preserve"> </w:t>
      </w:r>
      <w:r>
        <w:t xml:space="preserve">matching, a presence guard with lock-screen watch, bounded template adaptation and encrypted template storage.</w:t>
      </w:r>
    </w:p>
    <w:p>
      <w:pPr>
        <w:numPr>
          <w:ilvl w:val="0"/>
          <w:numId w:val="1001"/>
        </w:numPr>
      </w:pPr>
      <w:r>
        <w:t xml:space="preserve">An evaluation covering LFW verification with same-protocol ArcFace baselines, laptop-webcam images recorded over weeks, demographic differentials, a 10-hour system-level guard simulation and a real-world pilot with a laptop webcam.</w:t>
      </w:r>
    </w:p>
    <w:p>
      <w:pPr>
        <w:pStyle w:val="FirstParagraph"/>
      </w:pPr>
      <w:r>
        <w:t xml:space="preserve">Section II surveys prior work, Section III describes FaceGuard, Section IV details the data and protocols, Section V reports and discusses the results, and Section VI concludes.</w:t>
      </w:r>
    </w:p>
    <w:bookmarkEnd w:id="10"/>
    <w:bookmarkStart w:id="14" w:name="related-work"/>
    <w:p>
      <w:pPr>
        <w:pStyle w:val="Heading1"/>
      </w:pPr>
      <w:r>
        <w:t xml:space="preserve">Related Work</w:t>
      </w:r>
    </w:p>
    <w:bookmarkStart w:id="11" w:name="face-detection-and-recognition"/>
    <w:p>
      <w:pPr>
        <w:pStyle w:val="Heading2"/>
      </w:pPr>
      <w:r>
        <w:t xml:space="preserve">Face Detection and Recognition</w:t>
      </w:r>
    </w:p>
    <w:p>
      <w:pPr>
        <w:pStyle w:val="FirstParagraph"/>
      </w:pPr>
      <w:r>
        <w:t xml:space="preserve">YuNet [10], the detector used by FaceGuard, is an anchor-free network designed for millisecond-level inference on small inputs. Deep embeddings brought face verification on LFW to 99.63% with the triplet objective of FaceNet [5], and training with an additive angular margin (ArcFace) became a common choice [6], often on very large web-collected datasets such as WebFace260M [11]. SFace [12] replaces hard margins by sigmoid constraints on intra- and inter-class distances so that low-quality training images are not over-fitted; we use its lightweight model from the OpenCV Model Zoo. A deployed system must also reject people who were never enrolled, a setting formalized as open-set face recognition [13], and it profits from knowing which images to trust. Learned quality estimators such as SER-FIQ [14] serve this purpose; FaceGuard uses a cheap, rule-based quality gate instead.</w:t>
      </w:r>
    </w:p>
    <w:bookmarkEnd w:id="11"/>
    <w:bookmarkStart w:id="12" w:name="Xabc4b95dc75da1731b2fa1a0428d6eda8b3347d"/>
    <w:p>
      <w:pPr>
        <w:pStyle w:val="Heading2"/>
      </w:pPr>
      <w:r>
        <w:t xml:space="preserve">Presentation Attack Detection and Liveness</w:t>
      </w:r>
    </w:p>
    <w:p>
      <w:pPr>
        <w:pStyle w:val="FirstParagraph"/>
      </w:pPr>
      <w:r>
        <w:t xml:space="preserve">Yu</w:t>
      </w:r>
      <w:r>
        <w:t xml:space="preserve"> </w:t>
      </w:r>
      <w:r>
        <w:rPr>
          <w:i/>
          <w:iCs/>
        </w:rPr>
        <w:t xml:space="preserve">et al.</w:t>
      </w:r>
      <w:r>
        <w:t xml:space="preserve"> [15] review deep anti-spoofing methods, and ISO/IEC 30107-3 specifies how such methods are tested and reported [16]. Passive detectors learn cues from single images, for example image-distortion statistics [17] or depth maps supervised during training [18], and recent work improves their generalization to unseen domains [19]; all of them need attack datasets for training. Motion-based methods rely on the fact that a flat photograph moves differently from a 3-D head: Kollreider</w:t>
      </w:r>
      <w:r>
        <w:t xml:space="preserve"> </w:t>
      </w:r>
      <w:r>
        <w:rPr>
          <w:i/>
          <w:iCs/>
        </w:rPr>
        <w:t xml:space="preserve">et al.</w:t>
      </w:r>
      <w:r>
        <w:t xml:space="preserve"> </w:t>
      </w:r>
      <w:r>
        <w:t xml:space="preserve">compare the optical flow of facial parts [20], De Marsico</w:t>
      </w:r>
      <w:r>
        <w:t xml:space="preserve"> </w:t>
      </w:r>
      <w:r>
        <w:rPr>
          <w:i/>
          <w:iCs/>
        </w:rPr>
        <w:t xml:space="preserve">et al.</w:t>
      </w:r>
      <w:r>
        <w:t xml:space="preserve"> </w:t>
      </w:r>
      <w:r>
        <w:t xml:space="preserve">test projective invariants of facial points [21], and Wang</w:t>
      </w:r>
      <w:r>
        <w:t xml:space="preserve"> </w:t>
      </w:r>
      <w:r>
        <w:rPr>
          <w:i/>
          <w:iCs/>
        </w:rPr>
        <w:t xml:space="preserve">et al.</w:t>
      </w:r>
      <w:r>
        <w:t xml:space="preserve"> </w:t>
      </w:r>
      <w:r>
        <w:t xml:space="preserve">recover sparse 3-D structure from a single camera [22]. Interactive schemes instead ask the user to blink [23] or to perform lip movements [24]. Our parallax cue belongs to the planarity-testing family, but it is a closed-form quantity computed from the five landmarks the detector already outputs, expressed in degrees and embedded in a challenge-response protocol that Section V-F compares with head-turn, blink and random-challenge baselines.</w:t>
      </w:r>
    </w:p>
    <w:bookmarkEnd w:id="12"/>
    <w:bookmarkStart w:id="13" w:name="X95a1b815dc177be96dfa691a2caff74059d17bb"/>
    <w:p>
      <w:pPr>
        <w:pStyle w:val="Heading2"/>
      </w:pPr>
      <w:r>
        <w:t xml:space="preserve">Continuous Authentication and Template Management</w:t>
      </w:r>
    </w:p>
    <w:p>
      <w:pPr>
        <w:pStyle w:val="FirstParagraph"/>
      </w:pPr>
      <w:r>
        <w:t xml:space="preserve">Niinuma</w:t>
      </w:r>
      <w:r>
        <w:t xml:space="preserve"> </w:t>
      </w:r>
      <w:r>
        <w:rPr>
          <w:i/>
          <w:iCs/>
        </w:rPr>
        <w:t xml:space="preserve">et al.</w:t>
      </w:r>
      <w:r>
        <w:t xml:space="preserve"> [1] keep a PC session authenticated by following the user’s face and clothing color with a webcam, whereas ZEBRA [2] and FADEWICH [3] end the session when a wristband or radio signals show that the user has left. FaceGuard provides deauthentication and intruder capture with the built-in camera alone and uses online multi-object tracking [25] as a building block. Stored templates are an attack target in their own right [26], and updating them over time, as in template co-update [27], follows appearance changes at the risk of drifting towards impostors; Section III-G explains how FaceGuard bounds this drift.</w:t>
      </w:r>
    </w:p>
    <w:bookmarkEnd w:id="13"/>
    <w:bookmarkEnd w:id="14"/>
    <w:bookmarkStart w:id="22" w:name="the-faceguard-system"/>
    <w:p>
      <w:pPr>
        <w:pStyle w:val="Heading1"/>
      </w:pPr>
      <w:r>
        <w:t xml:space="preserve">The FaceGuard System</w:t>
      </w:r>
    </w:p>
    <w:bookmarkStart w:id="15" w:name="architecture-and-threat-model"/>
    <w:p>
      <w:pPr>
        <w:pStyle w:val="Heading2"/>
      </w:pPr>
      <w:r>
        <w:t xml:space="preserve">Architecture and Threat Model</w:t>
      </w:r>
    </w:p>
    <w:p>
      <w:pPr>
        <w:pStyle w:val="FirstParagraph"/>
      </w:pPr>
      <w:r xmlns:wps="http://schemas.microsoft.com/office/word/2010/wordprocessingShape">
        <w:drawing>
          <wp:anchor distT="0" distB="101600" distL="0" distR="0" simplePos="0" relativeHeight="251659265" behindDoc="0" locked="0" layoutInCell="1" allowOverlap="0">
            <wp:simplePos x="0" y="0"/>
            <wp:positionH relativeFrom="margin">
              <wp:align>center</wp:align>
            </wp:positionH>
            <wp:positionV relativeFrom="margin">
              <wp:align>top</wp:align>
            </wp:positionV>
            <wp:extent cx="6546850" cy="1908709"/>
            <wp:effectExtent l="0" t="0" r="0" b="0"/>
            <wp:wrapTopAndBottom/>
            <wp:docPr id="5001" name="Figure 1"/>
            <wp:cNvGraphicFramePr/>
            <a:graphic>
              <a:graphicData uri="http://schemas.microsoft.com/office/word/2010/wordprocessingShape">
                <wps:wsp>
                  <wps:cNvSpPr txBox="1"/>
                  <wps:spPr>
                    <a:xfrm>
                      <a:off x="0" y="0"/>
                      <a:ext cx="6546850" cy="1908709"/>
                    </a:xfrm>
                    <a:prstGeom prst="rect">
                      <a:avLst/>
                    </a:prstGeom>
                    <a:noFill/>
                    <a:ln>
                      <a:noFill/>
                    </a:ln>
                  </wps:spPr>
                  <wps:txbx>
                    <w:txbxContent>
                      <w:p>
                        <w:pPr>
                          <w:pStyle w:val="IEEEFigure"/>
                        </w:pPr>
                        <w:r>
                          <w:drawing>
                            <wp:inline>
                              <wp:extent cx="6204839" cy="1334669"/>
                              <wp:docPr id="1" name="Picture 1"/>
                              <wp:cNvGraphicFramePr>
                                <a:graphicFrameLocks noChangeAspect="1"/>
                              </wp:cNvGraphicFramePr>
                              <a:graphic>
                                <a:graphicData uri="http://schemas.openxmlformats.org/drawingml/2006/picture">
                                  <pic:pic>
                                    <pic:nvPicPr>
                                      <pic:cNvPr id="0" name="tikz1.png"/>
                                      <pic:cNvPicPr/>
                                    </pic:nvPicPr>
                                    <pic:blipFill>
                                      <a:blip r:embed="rId9"/>
                                      <a:stretch>
                                        <a:fillRect/>
                                      </a:stretch>
                                    </pic:blipFill>
                                    <pic:spPr>
                                      <a:xfrm>
                                        <a:off x="0" y="0"/>
                                        <a:ext cx="6204839" cy="1334669"/>
                                      </a:xfrm>
                                      <a:prstGeom prst="rect"/>
                                    </pic:spPr>
                                  </pic:pic>
                                </a:graphicData>
                              </a:graphic>
                            </wp:inline>
                          </w:drawing>
                        </w:r>
                      </w:p>
                      <w:p>
                        <w:pPr>
                          <w:pStyle w:val="IEEEFigureCaption"/>
                          <w:spacing w:after="200"/>
                        </w:pPr>
                        <w:r>
                          <w:t xml:space="preserve">Fig. 1. </w:t>
                        </w:r>
                        <w:r>
                          <w:t xml:space="preserve">Architecture of FaceGuard. Blue: recognition pipeline; orange: security components; gray: inputs, storage and outputs. Detection, tracking, embedding and matching run on every frame; the dense mesh is evaluated only during a liveness check or when its overlay is shown. IoU: intersection over union; EMA: exponential moving average; DPAPI: Windows Data Protection API. The dashed arrow is the bounded template update (Section III-G).</w:t>
                        </w:r>
                      </w:p>
                    </w:txbxContent>
                  </wps:txbx>
                  <wps:bodyPr rot="0" vert="horz" wrap="square" lIns="0" tIns="0" rIns="0" bIns="0" anchor="t" anchorCtr="0">
                    <a:spAutoFit/>
                  </wps:bodyPr>
                </wps:wsp>
              </a:graphicData>
            </a:graphic>
          </wp:anchor>
        </w:drawing>
      </w:r>
      <w:r>
        <w:t xml:space="preserve">Fig. 1 shows how the components interact. A single camera thread owns the device and every model, and the interface only draws what this thread produces. Recognition runs on each frame and serves three consumers: the live view, the challenge-response task behind face unlock, and the presence guard.</w:t>
      </w:r>
    </w:p>
    <w:p>
      <w:pPr>
        <w:pStyle w:val="BodyText"/>
      </w:pPr>
      <w:r>
        <w:rPr>
          <w:i/>
          <w:iCs/>
        </w:rPr>
        <w:t xml:space="preserve">Threat model.</w:t>
      </w:r>
      <w:r>
        <w:t xml:space="preserve"> </w:t>
      </w:r>
      <w:r>
        <w:t xml:space="preserve">We protect the unlocked OS session and, secondarily, the stored face templates against four adversaries: (A1) someone who sits down at an unattended, unlocked PC; (A2) someone at the locked PC, for instance guessing the PIN; (A3) a presentation attacker who wants face unlock to accept the owner, using a flat or bent print, a replayed recording of a genuine session, or a</w:t>
      </w:r>
      <w:r>
        <w:t xml:space="preserve"> </w:t>
      </w:r>
      <w:r>
        <w:t xml:space="preserve">“universal”</w:t>
      </w:r>
      <w:r>
        <w:t xml:space="preserve"> </w:t>
      </w:r>
      <w:r>
        <w:t xml:space="preserve">recording in which the owner performs every action; and (A4) an onlooker behind the working owner. 3-D masks, injection of synthetic video into the camera driver and malware running with the user’s rights are out of scope; such malware could disable any user-level program anyway. Because FaceGuard never unlocks the OS, fooling its face matcher can at worst prevent a lock or open a user-level application. Table S1 compares the resulting functions with an idle timeout and IR-based Windows Hello sign-in.</w:t>
      </w:r>
    </w:p>
    <w:bookmarkEnd w:id="15"/>
    <w:bookmarkStart w:id="16" w:name="recognition-pipeline"/>
    <w:p>
      <w:pPr>
        <w:pStyle w:val="Heading2"/>
      </w:pPr>
      <w:r>
        <w:t xml:space="preserve">Recognition Pipeline</w:t>
      </w:r>
    </w:p>
    <w:p>
      <w:pPr>
        <w:pStyle w:val="FirstParagraph"/>
      </w:pPr>
      <w:r>
        <w:rPr>
          <w:i/>
          <w:iCs/>
        </w:rPr>
        <w:t xml:space="preserve">Detection and alignment.</w:t>
      </w:r>
      <w:r>
        <w:t xml:space="preserve"> </w:t>
      </w:r>
      <w:r>
        <w:t xml:space="preserve">Each frame is scaled to a width of at most 640 pixels for YuNet (model</w:t>
      </w:r>
      <w:r>
        <w:t xml:space="preserve"> </w:t>
      </w:r>
      <w:r>
        <w:rPr>
          <w:rStyle w:val="VerbatimChar"/>
        </w:rPr>
        <w:t xml:space="preserve">face_detection_yunet_2023mar</w:t>
      </w:r>
      <w:r>
        <w:t xml:space="preserve">), which returns a box, a confidence and five points</w:t>
      </w:r>
      <w:r>
        <w:t xml:space="preserve"> </w:t>
      </w:r>
      <m:oMath>
        <m:sSub>
          <m:e>
            <m:r>
              <m:rPr>
                <m:sty m:val="b"/>
              </m:rPr>
              <m:t>p</m:t>
            </m:r>
          </m:e>
          <m:sub>
            <m:r>
              <m:t>1</m:t>
            </m:r>
          </m:sub>
        </m:sSub>
        <m:r>
          <m:rPr>
            <m:sty m:val="p"/>
          </m:rPr>
          <m:t>,</m:t>
        </m:r>
        <m:r>
          <m:t> </m:t>
        </m:r>
        <m:r>
          <m:rPr>
            <m:sty m:val="p"/>
          </m:rPr>
          <m:t>…</m:t>
        </m:r>
        <m:r>
          <m:rPr>
            <m:sty m:val="p"/>
          </m:rPr>
          <m:t>,</m:t>
        </m:r>
        <m:r>
          <m:t> </m:t>
        </m:r>
        <m:sSub>
          <m:e>
            <m:r>
              <m:rPr>
                <m:sty m:val="b"/>
              </m:rPr>
              <m:t>p</m:t>
            </m:r>
          </m:e>
          <m:sub>
            <m:r>
              <m:t>5</m:t>
            </m:r>
          </m:sub>
        </m:sSub>
      </m:oMath>
      <w:r>
        <w:t xml:space="preserve">: the right and left eye centers, the nose tip, and the right and left mouth corners, as seen from the subject. The face is warped to a</w:t>
      </w:r>
      <w:r>
        <w:t xml:space="preserve"> </w:t>
      </w:r>
      <m:oMath>
        <m:r>
          <m:t>112</m:t>
        </m:r>
        <m:r>
          <m:rPr>
            <m:sty m:val="p"/>
          </m:rPr>
          <m:t>×</m:t>
        </m:r>
        <m:r>
          <m:t>112</m:t>
        </m:r>
      </m:oMath>
      <w:r>
        <w:t xml:space="preserve"> </w:t>
      </w:r>
      <w:r>
        <w:t xml:space="preserve">crop by the similarity transform</w:t>
      </w:r>
      <w:r>
        <w:t xml:space="preserve"> </w:t>
      </w:r>
      <m:oMath>
        <m:r>
          <m:rPr>
            <m:sty m:val="p"/>
          </m:rPr>
          <m:t>(</m:t>
        </m:r>
        <m:r>
          <m:t>s</m:t>
        </m:r>
        <m:r>
          <m:rPr>
            <m:sty m:val="p"/>
          </m:rPr>
          <m:t>,</m:t>
        </m:r>
        <m:r>
          <m:t> </m:t>
        </m:r>
        <m:r>
          <m:rPr>
            <m:sty m:val="b"/>
          </m:rPr>
          <m:t>R</m:t>
        </m:r>
        <m:r>
          <m:rPr>
            <m:sty m:val="p"/>
          </m:rPr>
          <m:t>,</m:t>
        </m:r>
        <m:r>
          <m:t> </m:t>
        </m:r>
        <m:r>
          <m:rPr>
            <m:sty m:val="b"/>
          </m:rPr>
          <m:t>t</m:t>
        </m:r>
        <m:r>
          <m:rPr>
            <m:sty m:val="p"/>
          </m:rPr>
          <m:t>)</m:t>
        </m:r>
      </m:oMath>
      <w:r>
        <w:t xml:space="preserve"> </w:t>
      </w:r>
      <w:r>
        <w:t xml:space="preserve">that minimizes</w:t>
      </w:r>
      <w:r>
        <w:t xml:space="preserve"> </w:t>
      </w:r>
      <m:oMath>
        <m:nary>
          <m:naryPr>
            <m:chr m:val="∑"/>
            <m:limLoc m:val="undOvr"/>
            <m:subHide m:val="off"/>
            <m:supHide m:val="on"/>
          </m:naryPr>
          <m:sub>
            <m:r>
              <m:t>i</m:t>
            </m:r>
          </m:sub>
          <m:sup>
            <m:r>
              <m:t>​</m:t>
            </m:r>
          </m:sup>
          <m:e>
            <m:sSup>
              <m:e>
                <m:d>
                  <m:dPr>
                    <m:begChr m:val="‖"/>
                    <m:sepChr m:val=""/>
                    <m:endChr m:val="‖"/>
                    <m:grow/>
                  </m:dPr>
                  <m:e>
                    <m:r>
                      <m:t>s</m:t>
                    </m:r>
                    <m:r>
                      <m:rPr>
                        <m:sty m:val="b"/>
                      </m:rPr>
                      <m:t>R</m:t>
                    </m:r>
                    <m:sSub>
                      <m:e>
                        <m:r>
                          <m:rPr>
                            <m:sty m:val="b"/>
                          </m:rPr>
                          <m:t>p</m:t>
                        </m:r>
                      </m:e>
                      <m:sub>
                        <m:r>
                          <m:t>i</m:t>
                        </m:r>
                      </m:sub>
                    </m:sSub>
                    <m:r>
                      <m:rPr>
                        <m:sty m:val="p"/>
                      </m:rPr>
                      <m:t>+</m:t>
                    </m:r>
                    <m:r>
                      <m:rPr>
                        <m:sty m:val="b"/>
                      </m:rPr>
                      <m:t>t</m:t>
                    </m:r>
                    <m:r>
                      <m:rPr>
                        <m:sty m:val="p"/>
                      </m:rPr>
                      <m:t>−</m:t>
                    </m:r>
                    <m:sSub>
                      <m:e>
                        <m:r>
                          <m:rPr>
                            <m:sty m:val="b"/>
                          </m:rPr>
                          <m:t>q</m:t>
                        </m:r>
                      </m:e>
                      <m:sub>
                        <m:r>
                          <m:t>i</m:t>
                        </m:r>
                      </m:sub>
                    </m:sSub>
                  </m:e>
                </m:d>
              </m:e>
              <m:sup>
                <m:r>
                  <m:t>2</m:t>
                </m:r>
              </m:sup>
            </m:sSup>
          </m:e>
        </m:nary>
      </m:oMath>
      <w:r>
        <w:t xml:space="preserve"> </w:t>
      </w:r>
      <w:r>
        <w:t xml:space="preserve">for canonical positions</w:t>
      </w:r>
      <w:r>
        <w:t xml:space="preserve"> </w:t>
      </w:r>
      <m:oMath>
        <m:sSub>
          <m:e>
            <m:r>
              <m:rPr>
                <m:sty m:val="b"/>
              </m:rPr>
              <m:t>q</m:t>
            </m:r>
          </m:e>
          <m:sub>
            <m:r>
              <m:t>i</m:t>
            </m:r>
          </m:sub>
        </m:sSub>
      </m:oMath>
      <w:r>
        <w:t xml:space="preserve">.</w:t>
      </w:r>
    </w:p>
    <w:p>
      <w:pPr>
        <w:pStyle w:val="BodyText"/>
      </w:pPr>
      <w:r>
        <w:rPr>
          <w:i/>
          <w:iCs/>
        </w:rPr>
        <w:t xml:space="preserve">Embedding.</w:t>
      </w:r>
      <w:r>
        <w:t xml:space="preserve"> </w:t>
      </w:r>
      <w:r>
        <w:t xml:space="preserve">The SFace network</w:t>
      </w:r>
      <w:r>
        <w:t xml:space="preserve"> </w:t>
      </w:r>
      <m:oMath>
        <m:r>
          <m:rPr>
            <m:scr m:val="script"/>
            <m:sty m:val="p"/>
          </m:rPr>
          <m:t>F</m:t>
        </m:r>
      </m:oMath>
      <w:r>
        <w:t xml:space="preserve"> </w:t>
      </w:r>
      <w:r>
        <w:t xml:space="preserve">(model</w:t>
      </w:r>
      <w:r>
        <w:t xml:space="preserve"> </w:t>
      </w:r>
      <w:r>
        <w:rPr>
          <w:rStyle w:val="VerbatimChar"/>
        </w:rPr>
        <w:t xml:space="preserve">face_recognition_sface_2021dec</w:t>
      </w:r>
      <w:r>
        <w:t xml:space="preserve">, 38.7 MB) maps the crop</w:t>
      </w:r>
      <w:r>
        <w:t xml:space="preserve"> </w:t>
      </w:r>
      <m:oMath>
        <m:r>
          <m:rPr>
            <m:sty m:val="b"/>
          </m:rPr>
          <m:t>x</m:t>
        </m:r>
      </m:oMath>
      <w:r>
        <w:t xml:space="preserve"> </w:t>
      </w:r>
      <w:r>
        <w:t xml:space="preserve">to</w:t>
      </w:r>
      <w:r>
        <w:t xml:space="preserve"> </w:t>
      </w:r>
      <m:oMath>
        <m:r>
          <m:rPr>
            <m:scr m:val="script"/>
            <m:sty m:val="p"/>
          </m:rPr>
          <m:t>F</m:t>
        </m:r>
        <m:r>
          <m:rPr>
            <m:sty m:val="p"/>
          </m:rPr>
          <m:t>(</m:t>
        </m:r>
        <m:r>
          <m:rPr>
            <m:sty m:val="b"/>
          </m:rPr>
          <m:t>x</m:t>
        </m:r>
        <m:r>
          <m:rPr>
            <m:sty m:val="p"/>
          </m:rPr>
          <m:t>)</m:t>
        </m:r>
        <m:r>
          <m:rPr>
            <m:sty m:val="p"/>
          </m:rPr>
          <m:t>∈</m:t>
        </m:r>
        <m:sSup>
          <m:e>
            <m:r>
              <m:rPr>
                <m:scr m:val="double-struck"/>
                <m:sty m:val="p"/>
              </m:rPr>
              <m:t>R</m:t>
            </m:r>
          </m:e>
          <m:sup>
            <m:r>
              <m:t>128</m:t>
            </m:r>
          </m:sup>
        </m:sSup>
      </m:oMath>
      <w:r>
        <w:t xml:space="preserve">. With the normalization</w:t>
      </w:r>
      <w:r>
        <w:t xml:space="preserve"> </w:t>
      </w:r>
      <m:oMath>
        <m:r>
          <m:t>ν</m:t>
        </m:r>
        <m:r>
          <m:rPr>
            <m:sty m:val="p"/>
          </m:rPr>
          <m:t>(</m:t>
        </m:r>
        <m:r>
          <m:rPr>
            <m:sty m:val="b"/>
          </m:rPr>
          <m:t>v</m:t>
        </m:r>
        <m:r>
          <m:rPr>
            <m:sty m:val="p"/>
          </m:rPr>
          <m:t>)</m:t>
        </m:r>
        <m:r>
          <m:rPr>
            <m:sty m:val="p"/>
          </m:rPr>
          <m:t>=</m:t>
        </m:r>
        <m:r>
          <m:rPr>
            <m:sty m:val="b"/>
          </m:rPr>
          <m:t>v</m:t>
        </m:r>
        <m:r>
          <m:rPr>
            <m:sty m:val="p"/>
          </m:rPr>
          <m:t>/</m:t>
        </m:r>
        <m:d>
          <m:dPr>
            <m:begChr m:val="‖"/>
            <m:sepChr m:val=""/>
            <m:endChr m:val="‖"/>
            <m:grow/>
          </m:dPr>
          <m:e>
            <m:r>
              <m:rPr>
                <m:sty m:val="b"/>
              </m:rPr>
              <m:t>v</m:t>
            </m:r>
          </m:e>
        </m:d>
      </m:oMath>
      <w:r>
        <w:t xml:space="preserve"> </w:t>
      </w:r>
      <w:r>
        <w:t xml:space="preserve">and</w:t>
      </w:r>
      <w:r>
        <w:t xml:space="preserve"> </w:t>
      </w:r>
      <m:oMath>
        <m:r>
          <m:rPr>
            <m:sty m:val="p"/>
          </m:rPr>
          <m:t>f</m:t>
        </m:r>
        <m:r>
          <m:rPr>
            <m:sty m:val="p"/>
          </m:rPr>
          <m:t>l</m:t>
        </m:r>
        <m:r>
          <m:rPr>
            <m:sty m:val="p"/>
          </m:rPr>
          <m:t>i</m:t>
        </m:r>
        <m:r>
          <m:rPr>
            <m:sty m:val="p"/>
          </m:rPr>
          <m:t>p</m:t>
        </m:r>
        <m:r>
          <m:rPr>
            <m:sty m:val="p"/>
          </m:rPr>
          <m:t>(</m:t>
        </m:r>
        <m:r>
          <m:rPr>
            <m:sty m:val="p"/>
          </m:rPr>
          <m:t>⋅</m:t>
        </m:r>
        <m:r>
          <m:rPr>
            <m:sty m:val="p"/>
          </m:rPr>
          <m:t>)</m:t>
        </m:r>
      </m:oMath>
      <w:r>
        <w:t xml:space="preserve"> </w:t>
      </w:r>
      <w:r>
        <w:t xml:space="preserve">the horizontal mirror image, enrollment and verification use flip test-time augmentation (TTA),</w:t>
      </w:r>
    </w:p>
    <w:tbl>
      <w:tblPr>
        <w:tblW w:type="auto" w:w="0"/>
        <w:tblBorders>
          <w:top w:val="nil"/>
          <w:left w:val="nil"/>
          <w:bottom w:val="nil"/>
          <w:right w:val="nil"/>
          <w:insideH w:val="nil"/>
          <w:insideV w:val="nil"/>
        </w:tblBorders>
        <w:tblLayout w:type="fixed"/>
        <w:tblCellMar>
          <w:left w:w="0" w:type="dxa"/>
          <w:right w:w="0" w:type="dxa"/>
        </w:tblCellMar>
        <w:tblCaption w:val="Equation 1"/>
      </w:tblPr>
      <w:tblGrid>
        <w:gridCol w:w="3120"/>
        <w:gridCol w:w="3120"/>
        <w:gridCol w:w="3120"/>
      </w:tblGrid>
      <w:tr>
        <w:tc>
          <w:tcPr>
            <w:tcW w:type="dxa" w:w="560"/>
            <w:tcBorders>
              <w:top w:val="nil"/>
              <w:left w:val="nil"/>
              <w:bottom w:val="nil"/>
              <w:right w:val="nil"/>
            </w:tcBorders>
            <w:vAlign w:val="center"/>
          </w:tcPr>
          <w:p>
            <w:pPr>
              <w:pStyle w:val="IEEEEquation"/>
            </w:pPr>
          </w:p>
        </w:tc>
        <w:tc>
          <w:tcPr>
            <w:tcW w:type="dxa" w:w="3920"/>
            <w:tcBorders>
              <w:top w:val="nil"/>
              <w:left w:val="nil"/>
              <w:bottom w:val="nil"/>
              <w:right w:val="nil"/>
            </w:tcBorders>
            <w:vAlign w:val="center"/>
          </w:tcPr>
          <w:p>
            <w:pPr>
              <w:pStyle w:val="IEEEEquation"/>
            </w:pPr>
            <m:oMathPara>
              <m:oMathParaPr>
                <m:jc m:val="center"/>
              </m:oMathParaPr>
              <m:oMath>
                <m:r>
                  <m:rPr>
                    <m:sty m:val="b"/>
                  </m:rPr>
                  <m:t>e</m:t>
                </m:r>
                <m:r>
                  <m:rPr>
                    <m:sty m:val="p"/>
                  </m:rPr>
                  <m:t>(</m:t>
                </m:r>
                <m:r>
                  <m:rPr>
                    <m:sty m:val="b"/>
                  </m:rPr>
                  <m:t>x</m:t>
                </m:r>
                <m:r>
                  <m:rPr>
                    <m:sty m:val="p"/>
                  </m:rPr>
                  <m:t>)</m:t>
                </m:r>
                <m:r>
                  <m:rPr>
                    <m:sty m:val="p"/>
                  </m:rPr>
                  <m:t>=</m:t>
                </m:r>
                <m:r>
                  <m:t>ν</m:t>
                </m:r>
                <m:d>
                  <m:dPr>
                    <m:begChr m:val="("/>
                    <m:sepChr m:val=""/>
                    <m:endChr m:val=")"/>
                    <m:grow/>
                  </m:dPr>
                  <m:e>
                    <m:r>
                      <m:t>ν</m:t>
                    </m:r>
                    <m:r>
                      <m:rPr>
                        <m:sty m:val="p"/>
                      </m:rPr>
                      <m:t>(</m:t>
                    </m:r>
                    <m:r>
                      <m:rPr>
                        <m:scr m:val="script"/>
                        <m:sty m:val="p"/>
                      </m:rPr>
                      <m:t>F</m:t>
                    </m:r>
                    <m:r>
                      <m:rPr>
                        <m:sty m:val="p"/>
                      </m:rPr>
                      <m:t>(</m:t>
                    </m:r>
                    <m:r>
                      <m:rPr>
                        <m:sty m:val="b"/>
                      </m:rPr>
                      <m:t>x</m:t>
                    </m:r>
                    <m:r>
                      <m:rPr>
                        <m:sty m:val="p"/>
                      </m:rPr>
                      <m:t>)</m:t>
                    </m:r>
                    <m:r>
                      <m:rPr>
                        <m:sty m:val="p"/>
                      </m:rPr>
                      <m:t>)</m:t>
                    </m:r>
                    <m:r>
                      <m:rPr>
                        <m:sty m:val="p"/>
                      </m:rPr>
                      <m:t>+</m:t>
                    </m:r>
                    <m:r>
                      <m:t>ν</m:t>
                    </m:r>
                    <m:r>
                      <m:rPr>
                        <m:sty m:val="p"/>
                      </m:rPr>
                      <m:t>(</m:t>
                    </m:r>
                    <m:r>
                      <m:rPr>
                        <m:scr m:val="script"/>
                        <m:sty m:val="p"/>
                      </m:rPr>
                      <m:t>F</m:t>
                    </m:r>
                    <m:r>
                      <m:rPr>
                        <m:sty m:val="p"/>
                      </m:rPr>
                      <m:t>(</m:t>
                    </m:r>
                    <m:r>
                      <m:rPr>
                        <m:sty m:val="p"/>
                      </m:rPr>
                      <m:t>f</m:t>
                    </m:r>
                    <m:r>
                      <m:rPr>
                        <m:sty m:val="p"/>
                      </m:rPr>
                      <m:t>l</m:t>
                    </m:r>
                    <m:r>
                      <m:rPr>
                        <m:sty m:val="p"/>
                      </m:rPr>
                      <m:t>i</m:t>
                    </m:r>
                    <m:r>
                      <m:rPr>
                        <m:sty m:val="p"/>
                      </m:rPr>
                      <m:t>p</m:t>
                    </m:r>
                    <m:r>
                      <m:rPr>
                        <m:sty m:val="p"/>
                      </m:rPr>
                      <m:t>(</m:t>
                    </m:r>
                    <m:r>
                      <m:rPr>
                        <m:sty m:val="b"/>
                      </m:rPr>
                      <m:t>x</m:t>
                    </m:r>
                    <m:r>
                      <m:rPr>
                        <m:sty m:val="p"/>
                      </m:rPr>
                      <m:t>)</m:t>
                    </m:r>
                    <m:r>
                      <m:rPr>
                        <m:sty m:val="p"/>
                      </m:rPr>
                      <m:t>)</m:t>
                    </m:r>
                    <m:r>
                      <m:rPr>
                        <m:sty m:val="p"/>
                      </m:rPr>
                      <m:t>)</m:t>
                    </m:r>
                  </m:e>
                </m:d>
                <m:r>
                  <m:rPr>
                    <m:sty m:val="p"/>
                  </m:rPr>
                  <m:t>,</m:t>
                </m:r>
                <m:r>
                  <m:t> </m:t>
                </m:r>
              </m:oMath>
            </m:oMathPara>
          </w:p>
        </w:tc>
        <w:tc>
          <w:tcPr>
            <w:tcW w:type="dxa" w:w="560"/>
            <w:tcBorders>
              <w:top w:val="nil"/>
              <w:left w:val="nil"/>
              <w:bottom w:val="nil"/>
              <w:right w:val="nil"/>
            </w:tcBorders>
            <w:vAlign w:val="center"/>
          </w:tcPr>
          <w:p>
            <w:pPr>
              <w:pStyle w:val="IEEEEquation"/>
              <w:jc w:val="right"/>
            </w:pPr>
            <w:r>
              <w:t>(1)</w:t>
            </w:r>
          </w:p>
        </w:tc>
      </w:tr>
    </w:tbl>
    <w:p>
      <w:pPr>
        <w:pStyle w:val="FirstParagraph"/>
        <w:ind w:firstLine="0"/>
      </w:pPr>
      <w:r>
        <w:t xml:space="preserve">and faces are compared by their cosine similarity</w:t>
      </w:r>
      <w:r>
        <w:t xml:space="preserve"> </w:t>
      </w:r>
      <m:oMath>
        <m:r>
          <m:t>s</m:t>
        </m:r>
        <m:r>
          <m:rPr>
            <m:sty m:val="p"/>
          </m:rPr>
          <m:t>=</m:t>
        </m:r>
        <m:sSubSup>
          <m:e>
            <m:r>
              <m:rPr>
                <m:sty m:val="b"/>
              </m:rPr>
              <m:t>e</m:t>
            </m:r>
          </m:e>
          <m:sub>
            <m:r>
              <m:t>a</m:t>
            </m:r>
          </m:sub>
          <m:sup>
            <m:r>
              <m:rPr>
                <m:sty m:val="p"/>
              </m:rPr>
              <m:t>⊤</m:t>
            </m:r>
          </m:sup>
        </m:sSubSup>
        <m:sSub>
          <m:e>
            <m:r>
              <m:rPr>
                <m:sty m:val="b"/>
              </m:rPr>
              <m:t>e</m:t>
            </m:r>
          </m:e>
          <m:sub>
            <m:r>
              <m:t>b</m:t>
            </m:r>
          </m:sub>
        </m:sSub>
      </m:oMath>
      <w:r>
        <w:t xml:space="preserve">. Live tracking skips the mirror image to save time.</w:t>
      </w:r>
    </w:p>
    <w:p>
      <w:pPr>
        <w:pStyle w:val="BodyText"/>
      </w:pPr>
      <w:r>
        <w:rPr>
          <w:i/>
          <w:iCs/>
        </w:rPr>
        <w:t xml:space="preserve">Open-set matching.</w:t>
      </w:r>
      <w:r>
        <w:t xml:space="preserve"> </w:t>
      </w:r>
      <w:r>
        <w:t xml:space="preserve">A person</w:t>
      </w:r>
      <w:r>
        <w:t xml:space="preserve"> </w:t>
      </w:r>
      <m:oMath>
        <m:r>
          <m:t>p</m:t>
        </m:r>
      </m:oMath>
      <w:r>
        <w:t xml:space="preserve"> </w:t>
      </w:r>
      <w:r>
        <w:t xml:space="preserve">is enrolled with unit-norm samples</w:t>
      </w:r>
      <w:r>
        <w:t xml:space="preserve"> </w:t>
      </w:r>
      <m:oMath>
        <m:r>
          <m:rPr>
            <m:sty m:val="p"/>
          </m:rPr>
          <m:t>{</m:t>
        </m:r>
        <m:sSub>
          <m:e>
            <m:r>
              <m:rPr>
                <m:sty m:val="b"/>
              </m:rPr>
              <m:t>g</m:t>
            </m:r>
          </m:e>
          <m:sub>
            <m:r>
              <m:t>p</m:t>
            </m:r>
            <m:r>
              <m:rPr>
                <m:sty m:val="p"/>
              </m:rPr>
              <m:t>,</m:t>
            </m:r>
            <m:r>
              <m:t> </m:t>
            </m:r>
            <m:r>
              <m:t>j</m:t>
            </m:r>
          </m:sub>
        </m:sSub>
        <m:r>
          <m:rPr>
            <m:sty m:val="p"/>
          </m:rPr>
          <m:t>}</m:t>
        </m:r>
      </m:oMath>
      <w:r>
        <w:t xml:space="preserve">, typically 22 images taken in five guided head poses. A query</w:t>
      </w:r>
      <w:r>
        <w:t xml:space="preserve"> </w:t>
      </w:r>
      <m:oMath>
        <m:r>
          <m:rPr>
            <m:sty m:val="b"/>
          </m:rPr>
          <m:t>q</m:t>
        </m:r>
      </m:oMath>
      <w:r>
        <w:t xml:space="preserve"> </w:t>
      </w:r>
      <w:r>
        <w:t xml:space="preserve">receives the mean of its</w:t>
      </w:r>
      <w:r>
        <w:t xml:space="preserve"> </w:t>
      </w:r>
      <m:oMath>
        <m:r>
          <m:t>k</m:t>
        </m:r>
        <m:r>
          <m:rPr>
            <m:sty m:val="p"/>
          </m:rPr>
          <m:t>=</m:t>
        </m:r>
        <m:r>
          <m:t>3</m:t>
        </m:r>
      </m:oMath>
      <w:r>
        <w:t xml:space="preserve"> </w:t>
      </w:r>
      <w:r>
        <w:t xml:space="preserve">highest similarities to that person,</w:t>
      </w:r>
    </w:p>
    <w:tbl>
      <w:tblPr>
        <w:tblW w:type="auto" w:w="0"/>
        <w:tblBorders>
          <w:top w:val="nil"/>
          <w:left w:val="nil"/>
          <w:bottom w:val="nil"/>
          <w:right w:val="nil"/>
          <w:insideH w:val="nil"/>
          <w:insideV w:val="nil"/>
        </w:tblBorders>
        <w:tblLayout w:type="fixed"/>
        <w:tblCellMar>
          <w:left w:w="0" w:type="dxa"/>
          <w:right w:w="0" w:type="dxa"/>
        </w:tblCellMar>
        <w:tblCaption w:val="Equation 2"/>
      </w:tblPr>
      <w:tblGrid>
        <w:gridCol w:w="3120"/>
        <w:gridCol w:w="3120"/>
        <w:gridCol w:w="3120"/>
      </w:tblGrid>
      <w:tr>
        <w:tc>
          <w:tcPr>
            <w:tcW w:type="dxa" w:w="560"/>
            <w:tcBorders>
              <w:top w:val="nil"/>
              <w:left w:val="nil"/>
              <w:bottom w:val="nil"/>
              <w:right w:val="nil"/>
            </w:tcBorders>
            <w:vAlign w:val="center"/>
          </w:tcPr>
          <w:p>
            <w:pPr>
              <w:pStyle w:val="IEEEEquation"/>
            </w:pPr>
          </w:p>
        </w:tc>
        <w:tc>
          <w:tcPr>
            <w:tcW w:type="dxa" w:w="3920"/>
            <w:tcBorders>
              <w:top w:val="nil"/>
              <w:left w:val="nil"/>
              <w:bottom w:val="nil"/>
              <w:right w:val="nil"/>
            </w:tcBorders>
            <w:vAlign w:val="center"/>
          </w:tcPr>
          <w:p>
            <w:pPr>
              <w:pStyle w:val="IEEEEquation"/>
            </w:pPr>
            <m:oMathPara>
              <m:oMathParaPr>
                <m:jc m:val="center"/>
              </m:oMathParaPr>
              <m:oMath>
                <m:sSub>
                  <m:e>
                    <m:r>
                      <m:t>S</m:t>
                    </m:r>
                  </m:e>
                  <m:sub>
                    <m:r>
                      <m:t>p</m:t>
                    </m:r>
                  </m:sub>
                </m:sSub>
                <m:r>
                  <m:rPr>
                    <m:sty m:val="p"/>
                  </m:rPr>
                  <m:t>(</m:t>
                </m:r>
                <m:r>
                  <m:rPr>
                    <m:sty m:val="b"/>
                  </m:rPr>
                  <m:t>q</m:t>
                </m:r>
                <m:r>
                  <m:rPr>
                    <m:sty m:val="p"/>
                  </m:rPr>
                  <m:t>)</m:t>
                </m:r>
                <m:r>
                  <m:rPr>
                    <m:sty m:val="p"/>
                  </m:rPr>
                  <m:t>=</m:t>
                </m:r>
                <m:f>
                  <m:fPr>
                    <m:type m:val="bar"/>
                  </m:fPr>
                  <m:num>
                    <m:r>
                      <m:t>1</m:t>
                    </m:r>
                  </m:num>
                  <m:den>
                    <m:r>
                      <m:t>k</m:t>
                    </m:r>
                  </m:den>
                </m:f>
                <m:nary>
                  <m:naryPr>
                    <m:chr m:val="∑"/>
                    <m:limLoc m:val="undOvr"/>
                    <m:subHide m:val="off"/>
                    <m:supHide m:val="on"/>
                  </m:naryPr>
                  <m:sub>
                    <m:r>
                      <m:t>j</m:t>
                    </m:r>
                    <m:r>
                      <m:rPr>
                        <m:sty m:val="p"/>
                      </m:rPr>
                      <m:t>∈</m:t>
                    </m:r>
                    <m:sSub>
                      <m:e>
                        <m:r>
                          <m:rPr>
                            <m:scr m:val="script"/>
                            <m:sty m:val="p"/>
                          </m:rPr>
                          <m:t>T</m:t>
                        </m:r>
                      </m:e>
                      <m:sub>
                        <m:r>
                          <m:t>k</m:t>
                        </m:r>
                      </m:sub>
                    </m:sSub>
                    <m:r>
                      <m:rPr>
                        <m:sty m:val="p"/>
                      </m:rPr>
                      <m:t>(</m:t>
                    </m:r>
                    <m:r>
                      <m:t>p</m:t>
                    </m:r>
                    <m:r>
                      <m:rPr>
                        <m:sty m:val="p"/>
                      </m:rPr>
                      <m:t>)</m:t>
                    </m:r>
                  </m:sub>
                  <m:sup>
                    <m:r>
                      <m:t>​</m:t>
                    </m:r>
                  </m:sup>
                  <m:e>
                    <m:sSup>
                      <m:e>
                        <m:r>
                          <m:rPr>
                            <m:sty m:val="b"/>
                          </m:rPr>
                          <m:t>q</m:t>
                        </m:r>
                      </m:e>
                      <m:sup>
                        <m:r>
                          <m:rPr>
                            <m:sty m:val="p"/>
                          </m:rPr>
                          <m:t>⊤</m:t>
                        </m:r>
                      </m:sup>
                    </m:sSup>
                  </m:e>
                </m:nary>
                <m:sSub>
                  <m:e>
                    <m:r>
                      <m:rPr>
                        <m:sty m:val="b"/>
                      </m:rPr>
                      <m:t>g</m:t>
                    </m:r>
                  </m:e>
                  <m:sub>
                    <m:r>
                      <m:t>p</m:t>
                    </m:r>
                    <m:r>
                      <m:rPr>
                        <m:sty m:val="p"/>
                      </m:rPr>
                      <m:t>,</m:t>
                    </m:r>
                    <m:r>
                      <m:t> </m:t>
                    </m:r>
                    <m:r>
                      <m:t>j</m:t>
                    </m:r>
                  </m:sub>
                </m:sSub>
                <m:r>
                  <m:rPr>
                    <m:sty m:val="p"/>
                  </m:rPr>
                  <m:t>,</m:t>
                </m:r>
                <m:r>
                  <m:t> </m:t>
                </m:r>
              </m:oMath>
            </m:oMathPara>
          </w:p>
        </w:tc>
        <w:tc>
          <w:tcPr>
            <w:tcW w:type="dxa" w:w="560"/>
            <w:tcBorders>
              <w:top w:val="nil"/>
              <w:left w:val="nil"/>
              <w:bottom w:val="nil"/>
              <w:right w:val="nil"/>
            </w:tcBorders>
            <w:vAlign w:val="center"/>
          </w:tcPr>
          <w:p>
            <w:pPr>
              <w:pStyle w:val="IEEEEquation"/>
              <w:jc w:val="right"/>
            </w:pPr>
            <w:r>
              <w:t>(2)</w:t>
            </w:r>
          </w:p>
        </w:tc>
      </w:tr>
    </w:tbl>
    <w:p>
      <w:pPr>
        <w:pStyle w:val="FirstParagraph"/>
        <w:ind w:firstLine="0"/>
      </w:pPr>
      <w:r>
        <w:t xml:space="preserve">where</w:t>
      </w:r>
      <w:r>
        <w:t xml:space="preserve"> </w:t>
      </w:r>
      <m:oMath>
        <m:sSub>
          <m:e>
            <m:r>
              <m:rPr>
                <m:scr m:val="script"/>
                <m:sty m:val="p"/>
              </m:rPr>
              <m:t>T</m:t>
            </m:r>
          </m:e>
          <m:sub>
            <m:r>
              <m:t>k</m:t>
            </m:r>
          </m:sub>
        </m:sSub>
        <m:r>
          <m:rPr>
            <m:sty m:val="p"/>
          </m:rPr>
          <m:t>(</m:t>
        </m:r>
        <m:r>
          <m:t>p</m:t>
        </m:r>
        <m:r>
          <m:rPr>
            <m:sty m:val="p"/>
          </m:rPr>
          <m:t>)</m:t>
        </m:r>
      </m:oMath>
      <w:r>
        <w:t xml:space="preserve"> </w:t>
      </w:r>
      <w:r>
        <w:t xml:space="preserve">indexes these samples. Averaging the closest samples favors enrollment images whose pose resembles the query and is less noisy than a single nearest neighbor. The scores of a tracked face are smoothed by an exponential moving average,</w:t>
      </w:r>
      <w:r>
        <w:t xml:space="preserve"> </w:t>
      </w:r>
      <m:oMath>
        <m:sSub>
          <m:e>
            <m:acc>
              <m:accPr>
                <m:chr m:val="̃"/>
              </m:accPr>
              <m:e>
                <m:r>
                  <m:t>S</m:t>
                </m:r>
              </m:e>
            </m:acc>
          </m:e>
          <m:sub>
            <m:r>
              <m:t>p</m:t>
            </m:r>
          </m:sub>
        </m:sSub>
        <m:r>
          <m:rPr>
            <m:sty m:val="p"/>
          </m:rPr>
          <m:t>(</m:t>
        </m:r>
        <m:r>
          <m:t>t</m:t>
        </m:r>
        <m:r>
          <m:rPr>
            <m:sty m:val="p"/>
          </m:rPr>
          <m:t>)</m:t>
        </m:r>
        <m:r>
          <m:rPr>
            <m:sty m:val="p"/>
          </m:rPr>
          <m:t>=</m:t>
        </m:r>
        <m:r>
          <m:t>α</m:t>
        </m:r>
        <m:sSub>
          <m:e>
            <m:r>
              <m:t>S</m:t>
            </m:r>
          </m:e>
          <m:sub>
            <m:r>
              <m:t>p</m:t>
            </m:r>
          </m:sub>
        </m:sSub>
        <m:r>
          <m:rPr>
            <m:sty m:val="p"/>
          </m:rPr>
          <m:t>(</m:t>
        </m:r>
        <m:r>
          <m:t>t</m:t>
        </m:r>
        <m:r>
          <m:rPr>
            <m:sty m:val="p"/>
          </m:rPr>
          <m:t>)</m:t>
        </m:r>
        <m:r>
          <m:rPr>
            <m:sty m:val="p"/>
          </m:rPr>
          <m:t>+</m:t>
        </m:r>
        <m:r>
          <m:rPr>
            <m:sty m:val="p"/>
          </m:rPr>
          <m:t>(</m:t>
        </m:r>
        <m:r>
          <m:t>1</m:t>
        </m:r>
        <m:r>
          <m:rPr>
            <m:sty m:val="p"/>
          </m:rPr>
          <m:t>−</m:t>
        </m:r>
        <m:r>
          <m:t>α</m:t>
        </m:r>
        <m:r>
          <m:rPr>
            <m:sty m:val="p"/>
          </m:rPr>
          <m:t>)</m:t>
        </m:r>
        <m:sSub>
          <m:e>
            <m:acc>
              <m:accPr>
                <m:chr m:val="̃"/>
              </m:accPr>
              <m:e>
                <m:r>
                  <m:t>S</m:t>
                </m:r>
              </m:e>
            </m:acc>
          </m:e>
          <m:sub>
            <m:r>
              <m:t>p</m:t>
            </m:r>
          </m:sub>
        </m:sSub>
        <m:r>
          <m:rPr>
            <m:sty m:val="p"/>
          </m:rPr>
          <m:t>(</m:t>
        </m:r>
        <m:r>
          <m:t>t</m:t>
        </m:r>
        <m:r>
          <m:rPr>
            <m:sty m:val="p"/>
          </m:rPr>
          <m:t>−</m:t>
        </m:r>
        <m:r>
          <m:t>1</m:t>
        </m:r>
        <m:r>
          <m:rPr>
            <m:sty m:val="p"/>
          </m:rPr>
          <m:t>)</m:t>
        </m:r>
      </m:oMath>
      <w:r>
        <w:t xml:space="preserve"> </w:t>
      </w:r>
      <w:r>
        <w:t xml:space="preserve">with</w:t>
      </w:r>
      <w:r>
        <w:t xml:space="preserve"> </w:t>
      </w:r>
      <m:oMath>
        <m:r>
          <m:t>α</m:t>
        </m:r>
        <m:r>
          <m:rPr>
            <m:sty m:val="p"/>
          </m:rPr>
          <m:t>=</m:t>
        </m:r>
        <m:r>
          <m:t>0.5</m:t>
        </m:r>
      </m:oMath>
      <w:r>
        <w:t xml:space="preserve">, and with</w:t>
      </w:r>
      <w:r>
        <w:t xml:space="preserve"> </w:t>
      </w:r>
      <m:oMath>
        <m:sSup>
          <m:e>
            <m:r>
              <m:t>p</m:t>
            </m:r>
          </m:e>
          <m:sup>
            <m:r>
              <m:rPr>
                <m:sty m:val="p"/>
              </m:rPr>
              <m:t>⋆</m:t>
            </m:r>
          </m:sup>
        </m:sSup>
        <m:r>
          <m:rPr>
            <m:sty m:val="p"/>
          </m:rPr>
          <m:t>=</m:t>
        </m:r>
        <m:r>
          <m:rPr>
            <m:sty m:val="p"/>
          </m:rPr>
          <m:t>arg</m:t>
        </m:r>
        <m:sSub>
          <m:e>
            <m:r>
              <m:rPr>
                <m:sty m:val="p"/>
              </m:rPr>
              <m:t>max</m:t>
            </m:r>
          </m:e>
          <m:sub>
            <m:r>
              <m:t>p</m:t>
            </m:r>
          </m:sub>
        </m:sSub>
        <m:sSub>
          <m:e>
            <m:acc>
              <m:accPr>
                <m:chr m:val="̃"/>
              </m:accPr>
              <m:e>
                <m:r>
                  <m:t>S</m:t>
                </m:r>
              </m:e>
            </m:acc>
          </m:e>
          <m:sub>
            <m:r>
              <m:t>p</m:t>
            </m:r>
          </m:sub>
        </m:sSub>
      </m:oMath>
      <w:r>
        <w:t xml:space="preserve"> </w:t>
      </w:r>
      <w:r>
        <w:t xml:space="preserve">the face is labeled</w:t>
      </w:r>
    </w:p>
    <w:tbl>
      <w:tblPr>
        <w:tblW w:type="auto" w:w="0"/>
        <w:tblBorders>
          <w:top w:val="nil"/>
          <w:left w:val="nil"/>
          <w:bottom w:val="nil"/>
          <w:right w:val="nil"/>
          <w:insideH w:val="nil"/>
          <w:insideV w:val="nil"/>
        </w:tblBorders>
        <w:tblLayout w:type="fixed"/>
        <w:tblCellMar>
          <w:left w:w="0" w:type="dxa"/>
          <w:right w:w="0" w:type="dxa"/>
        </w:tblCellMar>
        <w:tblCaption w:val="Equation 3"/>
      </w:tblPr>
      <w:tblGrid>
        <w:gridCol w:w="3120"/>
        <w:gridCol w:w="3120"/>
        <w:gridCol w:w="3120"/>
      </w:tblGrid>
      <w:tr>
        <w:tc>
          <w:tcPr>
            <w:tcW w:type="dxa" w:w="560"/>
            <w:tcBorders>
              <w:top w:val="nil"/>
              <w:left w:val="nil"/>
              <w:bottom w:val="nil"/>
              <w:right w:val="nil"/>
            </w:tcBorders>
            <w:vAlign w:val="center"/>
          </w:tcPr>
          <w:p>
            <w:pPr>
              <w:pStyle w:val="IEEEEquation"/>
            </w:pPr>
          </w:p>
        </w:tc>
        <w:tc>
          <w:tcPr>
            <w:tcW w:type="dxa" w:w="3920"/>
            <w:tcBorders>
              <w:top w:val="nil"/>
              <w:left w:val="nil"/>
              <w:bottom w:val="nil"/>
              <w:right w:val="nil"/>
            </w:tcBorders>
            <w:vAlign w:val="center"/>
          </w:tcPr>
          <w:p>
            <w:pPr>
              <w:pStyle w:val="IEEEEquation"/>
            </w:pPr>
            <m:oMathPara>
              <m:oMathParaPr>
                <m:jc m:val="center"/>
              </m:oMathParaPr>
              <m:oMath>
                <m:r>
                  <m:rPr>
                    <m:nor/>
                    <m:sty m:val="p"/>
                  </m:rPr>
                  <m:t>label</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match</m:t>
                          </m:r>
                          <m:r>
                            <m:rPr>
                              <m:sty m:val="p"/>
                            </m:rPr>
                            <m:t>,</m:t>
                          </m:r>
                          <m:r>
                            <m:t> </m:t>
                          </m:r>
                        </m:e>
                        <m:e>
                          <m:sSub>
                            <m:e>
                              <m:acc>
                                <m:accPr>
                                  <m:chr m:val="̃"/>
                                </m:accPr>
                                <m:e>
                                  <m:r>
                                    <m:t>S</m:t>
                                  </m:r>
                                </m:e>
                              </m:acc>
                            </m:e>
                            <m:sub>
                              <m:sSup>
                                <m:e>
                                  <m:r>
                                    <m:t>p</m:t>
                                  </m:r>
                                </m:e>
                                <m:sup>
                                  <m:r>
                                    <m:rPr>
                                      <m:sty m:val="p"/>
                                    </m:rPr>
                                    <m:t>⋆</m:t>
                                  </m:r>
                                </m:sup>
                              </m:sSup>
                            </m:sub>
                          </m:sSub>
                          <m:r>
                            <m:rPr>
                              <m:sty m:val="p"/>
                            </m:rPr>
                            <m:t>≥</m:t>
                          </m:r>
                          <m:r>
                            <m:t>τ</m:t>
                          </m:r>
                          <m:r>
                            <m:rPr>
                              <m:sty m:val="p"/>
                            </m:rPr>
                            <m:t>,</m:t>
                          </m:r>
                          <m:r>
                            <m:t> </m:t>
                          </m:r>
                        </m:e>
                      </m:mr>
                      <m:mr>
                        <m:e>
                          <m:r>
                            <m:rPr>
                              <m:nor/>
                              <m:sty m:val="p"/>
                            </m:rPr>
                            <m:t>unknown</m:t>
                          </m:r>
                          <m:r>
                            <m:rPr>
                              <m:sty m:val="p"/>
                            </m:rPr>
                            <m:t>,</m:t>
                          </m:r>
                          <m:r>
                            <m:t> </m:t>
                          </m:r>
                        </m:e>
                        <m:e>
                          <m:sSub>
                            <m:e>
                              <m:acc>
                                <m:accPr>
                                  <m:chr m:val="̃"/>
                                </m:accPr>
                                <m:e>
                                  <m:r>
                                    <m:t>S</m:t>
                                  </m:r>
                                </m:e>
                              </m:acc>
                            </m:e>
                            <m:sub>
                              <m:sSup>
                                <m:e>
                                  <m:r>
                                    <m:t>p</m:t>
                                  </m:r>
                                </m:e>
                                <m:sup>
                                  <m:r>
                                    <m:rPr>
                                      <m:sty m:val="p"/>
                                    </m:rPr>
                                    <m:t>⋆</m:t>
                                  </m:r>
                                </m:sup>
                              </m:sSup>
                            </m:sub>
                          </m:sSub>
                          <m:r>
                            <m:rPr>
                              <m:sty m:val="p"/>
                            </m:rPr>
                            <m:t>&lt;</m:t>
                          </m:r>
                          <m:sSub>
                            <m:e>
                              <m:r>
                                <m:t>τ</m:t>
                              </m:r>
                            </m:e>
                            <m:sub>
                              <m:r>
                                <m:t>u</m:t>
                              </m:r>
                            </m:sub>
                          </m:sSub>
                          <m:r>
                            <m:rPr>
                              <m:sty m:val="p"/>
                            </m:rPr>
                            <m:t>,</m:t>
                          </m:r>
                          <m:r>
                            <m:t> </m:t>
                          </m:r>
                        </m:e>
                      </m:mr>
                      <m:mr>
                        <m:e>
                          <m:r>
                            <m:rPr>
                              <m:nor/>
                              <m:sty m:val="p"/>
                            </m:rPr>
                            <m:t>uncertain</m:t>
                          </m:r>
                          <m:r>
                            <m:rPr>
                              <m:sty m:val="p"/>
                            </m:rPr>
                            <m:t>,</m:t>
                          </m:r>
                          <m:r>
                            <m:t> </m:t>
                          </m:r>
                        </m:e>
                        <m:e>
                          <m:r>
                            <m:rPr>
                              <m:nor/>
                              <m:sty m:val="p"/>
                            </m:rPr>
                            <m:t>otherwise,</m:t>
                          </m:r>
                        </m:e>
                      </m:mr>
                    </m:m>
                  </m:e>
                </m:d>
              </m:oMath>
            </m:oMathPara>
          </w:p>
        </w:tc>
        <w:tc>
          <w:tcPr>
            <w:tcW w:type="dxa" w:w="560"/>
            <w:tcBorders>
              <w:top w:val="nil"/>
              <w:left w:val="nil"/>
              <w:bottom w:val="nil"/>
              <w:right w:val="nil"/>
            </w:tcBorders>
            <w:vAlign w:val="center"/>
          </w:tcPr>
          <w:p>
            <w:pPr>
              <w:pStyle w:val="IEEEEquation"/>
              <w:jc w:val="right"/>
            </w:pPr>
            <w:r>
              <w:t>(3)</w:t>
            </w:r>
          </w:p>
        </w:tc>
      </w:tr>
    </w:tbl>
    <w:p>
      <w:pPr>
        <w:pStyle w:val="FirstParagraph"/>
        <w:ind w:firstLine="0"/>
      </w:pPr>
      <w:r>
        <w:t xml:space="preserve">where</w:t>
      </w:r>
      <w:r>
        <w:t xml:space="preserve"> </w:t>
      </w:r>
      <m:oMath>
        <m:sSub>
          <m:e>
            <m:r>
              <m:t>τ</m:t>
            </m:r>
          </m:e>
          <m:sub>
            <m:r>
              <m:t>u</m:t>
            </m:r>
          </m:sub>
        </m:sSub>
        <m:r>
          <m:rPr>
            <m:sty m:val="p"/>
          </m:rPr>
          <m:t>=</m:t>
        </m:r>
        <m:r>
          <m:t>0.30</m:t>
        </m:r>
      </m:oMath>
      <w:r>
        <w:t xml:space="preserve"> </w:t>
      </w:r>
      <w:r>
        <w:t xml:space="preserve">and</w:t>
      </w:r>
      <w:r>
        <w:t xml:space="preserve"> </w:t>
      </w:r>
      <m:oMath>
        <m:r>
          <m:t>τ</m:t>
        </m:r>
      </m:oMath>
      <w:r>
        <w:t xml:space="preserve"> </w:t>
      </w:r>
      <w:r>
        <w:t xml:space="preserve">equals 0.38, 0.45 or 0.52 for the relaxed, balanced (default) and strict security levels. Alarms can be raised only by</w:t>
      </w:r>
      <w:r>
        <w:t xml:space="preserve"> </w:t>
      </w:r>
      <w:r>
        <w:rPr>
          <w:i/>
          <w:iCs/>
        </w:rPr>
        <w:t xml:space="preserve">unknown</w:t>
      </w:r>
      <w:r>
        <w:t xml:space="preserve"> </w:t>
      </w:r>
      <w:r>
        <w:t xml:space="preserve">faces and unlocking needs a</w:t>
      </w:r>
      <w:r>
        <w:t xml:space="preserve"> </w:t>
      </w:r>
      <w:r>
        <w:rPr>
          <w:i/>
          <w:iCs/>
        </w:rPr>
        <w:t xml:space="preserve">match</w:t>
      </w:r>
      <w:r>
        <w:t xml:space="preserve">, while ambiguous frames fall in the</w:t>
      </w:r>
      <w:r>
        <w:t xml:space="preserve"> </w:t>
      </w:r>
      <w:r>
        <w:rPr>
          <w:i/>
          <w:iCs/>
        </w:rPr>
        <w:t xml:space="preserve">uncertain</w:t>
      </w:r>
      <w:r>
        <w:t xml:space="preserve"> </w:t>
      </w:r>
      <w:r>
        <w:t xml:space="preserve">band.</w:t>
      </w:r>
    </w:p>
    <w:p>
      <w:pPr>
        <w:pStyle w:val="BodyText"/>
      </w:pPr>
      <w:r>
        <w:rPr>
          <w:i/>
          <w:iCs/>
        </w:rPr>
        <w:t xml:space="preserve">Tracking and quality gate.</w:t>
      </w:r>
      <w:r>
        <w:t xml:space="preserve"> </w:t>
      </w:r>
      <w:r>
        <w:t xml:space="preserve">Detections are linked to tracks by intersection over union (IoU</w:t>
      </w:r>
      <w:r>
        <w:t xml:space="preserve"> </w:t>
      </w:r>
      <m:oMath>
        <m:r>
          <m:rPr>
            <m:sty m:val="p"/>
          </m:rPr>
          <m:t>≥</m:t>
        </m:r>
        <m:r>
          <m:t>0.25</m:t>
        </m:r>
      </m:oMath>
      <w:r>
        <w:t xml:space="preserve">), with a fallback on center distance and size that handles fast motion at low frame rates, and each track is re-embedded every 0.35 s (0.2 s in the background). A rule-based quality gate on face size, sharpness, exposure, detector score and pose does not stop a face from being tracked and matched; it decides which faces may be enrolled, may update a template and may trigger an intruder lock. Its limits, listed in Section S1, are deliberately conservative relative to the degradation results of Section V-B.</w:t>
      </w:r>
    </w:p>
    <w:bookmarkEnd w:id="16"/>
    <w:bookmarkStart w:id="17" w:name="head-pose-estimation-and-roll-leakage"/>
    <w:p>
      <w:pPr>
        <w:pStyle w:val="Heading2"/>
      </w:pPr>
      <w:r>
        <w:t xml:space="preserve">Head-Pose Estimation and Roll Leakage</w:t>
      </w:r>
    </w:p>
    <w:p>
      <w:pPr>
        <w:pStyle w:val="FirstParagraph"/>
      </w:pPr>
      <w:r>
        <w:t xml:space="preserve">Let</w:t>
      </w:r>
      <w:r>
        <w:t xml:space="preserve"> </w:t>
      </w:r>
      <m:oMath>
        <m:r>
          <m:rPr>
            <m:sty m:val="b"/>
          </m:rPr>
          <m:t>u</m:t>
        </m:r>
      </m:oMath>
      <w:r>
        <w:t xml:space="preserve"> </w:t>
      </w:r>
      <w:r>
        <w:t xml:space="preserve">be the unit vector pointing from the right to the left eye,</w:t>
      </w:r>
      <w:r>
        <w:t xml:space="preserve"> </w:t>
      </w:r>
      <m:oMath>
        <m:r>
          <m:t>d</m:t>
        </m:r>
        <m:r>
          <m:rPr>
            <m:sty m:val="p"/>
          </m:rPr>
          <m:t>=</m:t>
        </m:r>
        <m:d>
          <m:dPr>
            <m:begChr m:val="‖"/>
            <m:sepChr m:val=""/>
            <m:endChr m:val="‖"/>
            <m:grow/>
          </m:dPr>
          <m:e>
            <m:sSub>
              <m:e>
                <m:r>
                  <m:rPr>
                    <m:sty m:val="b"/>
                  </m:rPr>
                  <m:t>p</m:t>
                </m:r>
              </m:e>
              <m:sub>
                <m:r>
                  <m:t>2</m:t>
                </m:r>
              </m:sub>
            </m:sSub>
            <m:r>
              <m:rPr>
                <m:sty m:val="p"/>
              </m:rPr>
              <m:t>−</m:t>
            </m:r>
            <m:sSub>
              <m:e>
                <m:r>
                  <m:rPr>
                    <m:sty m:val="b"/>
                  </m:rPr>
                  <m:t>p</m:t>
                </m:r>
              </m:e>
              <m:sub>
                <m:r>
                  <m:t>1</m:t>
                </m:r>
              </m:sub>
            </m:sSub>
          </m:e>
        </m:d>
      </m:oMath>
      <w:r>
        <w:t xml:space="preserve"> </w:t>
      </w:r>
      <w:r>
        <w:t xml:space="preserve">the distance between the eyes and</w:t>
      </w:r>
      <w:r>
        <w:t xml:space="preserve"> </w:t>
      </w:r>
      <m:oMath>
        <m:r>
          <m:rPr>
            <m:sty m:val="b"/>
          </m:rPr>
          <m:t>m</m:t>
        </m:r>
        <m:r>
          <m:rPr>
            <m:sty m:val="p"/>
          </m:rPr>
          <m:t>=</m:t>
        </m:r>
        <m:r>
          <m:rPr>
            <m:sty m:val="p"/>
          </m:rPr>
          <m:t>(</m:t>
        </m:r>
        <m:sSub>
          <m:e>
            <m:r>
              <m:rPr>
                <m:sty m:val="b"/>
              </m:rPr>
              <m:t>p</m:t>
            </m:r>
          </m:e>
          <m:sub>
            <m:r>
              <m:t>1</m:t>
            </m:r>
          </m:sub>
        </m:sSub>
        <m:r>
          <m:rPr>
            <m:sty m:val="p"/>
          </m:rPr>
          <m:t>+</m:t>
        </m:r>
        <m:sSub>
          <m:e>
            <m:r>
              <m:rPr>
                <m:sty m:val="b"/>
              </m:rPr>
              <m:t>p</m:t>
            </m:r>
          </m:e>
          <m:sub>
            <m:r>
              <m:t>2</m:t>
            </m:r>
          </m:sub>
        </m:sSub>
        <m:r>
          <m:rPr>
            <m:sty m:val="p"/>
          </m:rPr>
          <m:t>)</m:t>
        </m:r>
        <m:r>
          <m:rPr>
            <m:sty m:val="p"/>
          </m:rPr>
          <m:t>/</m:t>
        </m:r>
        <m:r>
          <m:t>2</m:t>
        </m:r>
      </m:oMath>
      <w:r>
        <w:t xml:space="preserve"> </w:t>
      </w:r>
      <w:r>
        <w:t xml:space="preserve">their midpoint. The estimator measures the roll</w:t>
      </w:r>
      <w:r>
        <w:t xml:space="preserve"> </w:t>
      </w:r>
      <m:oMath>
        <m:r>
          <m:t>ϕ</m:t>
        </m:r>
        <m:r>
          <m:rPr>
            <m:sty m:val="p"/>
          </m:rPr>
          <m:t>=</m:t>
        </m:r>
        <m:r>
          <m:rPr>
            <m:sty m:val="p"/>
          </m:rPr>
          <m:t>atan2</m:t>
        </m:r>
        <m:r>
          <m:rPr>
            <m:sty m:val="p"/>
          </m:rPr>
          <m:t>(</m:t>
        </m:r>
        <m:sSub>
          <m:e>
            <m:r>
              <m:t>u</m:t>
            </m:r>
          </m:e>
          <m:sub>
            <m:r>
              <m:t>y</m:t>
            </m:r>
          </m:sub>
        </m:sSub>
        <m:r>
          <m:rPr>
            <m:sty m:val="p"/>
          </m:rPr>
          <m:t>,</m:t>
        </m:r>
        <m:r>
          <m:t> </m:t>
        </m:r>
        <m:sSub>
          <m:e>
            <m:r>
              <m:t>u</m:t>
            </m:r>
          </m:e>
          <m:sub>
            <m:r>
              <m:t>x</m:t>
            </m:r>
          </m:sub>
        </m:sSub>
        <m:r>
          <m:rPr>
            <m:sty m:val="p"/>
          </m:rPr>
          <m:t>)</m:t>
        </m:r>
      </m:oMath>
      <w:r>
        <w:t xml:space="preserve">, rotates the nose offset back with the 2-D rotation matrix</w:t>
      </w:r>
      <w:r>
        <w:t xml:space="preserve"> </w:t>
      </w:r>
      <m:oMath>
        <m:sSub>
          <m:e>
            <m:r>
              <m:rPr>
                <m:sty m:val="b"/>
              </m:rPr>
              <m:t>R</m:t>
            </m:r>
          </m:e>
          <m:sub>
            <m:r>
              <m:rPr>
                <m:sty m:val="p"/>
              </m:rPr>
              <m:t>−</m:t>
            </m:r>
            <m:r>
              <m:t>ϕ</m:t>
            </m:r>
          </m:sub>
        </m:sSub>
      </m:oMath>
      <w:r>
        <w:t xml:space="preserve">,</w:t>
      </w:r>
      <w:r>
        <w:t xml:space="preserve"> </w:t>
      </w:r>
      <m:oMath>
        <m:sSup>
          <m:e>
            <m:r>
              <m:rPr>
                <m:sty m:val="b"/>
              </m:rPr>
              <m:t>n</m:t>
            </m:r>
          </m:e>
          <m:sup>
            <m:r>
              <m:rPr>
                <m:sty m:val="p"/>
              </m:rPr>
              <m:t>′</m:t>
            </m:r>
          </m:sup>
        </m:sSup>
        <m:r>
          <m:rPr>
            <m:sty m:val="p"/>
          </m:rPr>
          <m:t>=</m:t>
        </m:r>
        <m:sSub>
          <m:e>
            <m:r>
              <m:rPr>
                <m:sty m:val="b"/>
              </m:rPr>
              <m:t>R</m:t>
            </m:r>
          </m:e>
          <m:sub>
            <m:r>
              <m:rPr>
                <m:sty m:val="p"/>
              </m:rPr>
              <m:t>−</m:t>
            </m:r>
            <m:r>
              <m:t>ϕ</m:t>
            </m:r>
          </m:sub>
        </m:sSub>
        <m:r>
          <m:rPr>
            <m:sty m:val="p"/>
          </m:rPr>
          <m:t>(</m:t>
        </m:r>
        <m:sSub>
          <m:e>
            <m:r>
              <m:rPr>
                <m:sty m:val="b"/>
              </m:rPr>
              <m:t>p</m:t>
            </m:r>
          </m:e>
          <m:sub>
            <m:r>
              <m:t>3</m:t>
            </m:r>
          </m:sub>
        </m:sSub>
        <m:r>
          <m:rPr>
            <m:sty m:val="p"/>
          </m:rPr>
          <m:t>−</m:t>
        </m:r>
        <m:r>
          <m:rPr>
            <m:sty m:val="b"/>
          </m:rPr>
          <m:t>m</m:t>
        </m:r>
        <m:r>
          <m:rPr>
            <m:sty m:val="p"/>
          </m:rPr>
          <m:t>)</m:t>
        </m:r>
      </m:oMath>
      <w:r>
        <w:t xml:space="preserve">, and converts it into a yaw ratio and angle</w:t>
      </w:r>
    </w:p>
    <w:tbl>
      <w:tblPr>
        <w:tblW w:type="auto" w:w="0"/>
        <w:tblBorders>
          <w:top w:val="nil"/>
          <w:left w:val="nil"/>
          <w:bottom w:val="nil"/>
          <w:right w:val="nil"/>
          <w:insideH w:val="nil"/>
          <w:insideV w:val="nil"/>
        </w:tblBorders>
        <w:tblLayout w:type="fixed"/>
        <w:tblCellMar>
          <w:left w:w="0" w:type="dxa"/>
          <w:right w:w="0" w:type="dxa"/>
        </w:tblCellMar>
        <w:tblCaption w:val="Equation 4"/>
      </w:tblPr>
      <w:tblGrid>
        <w:gridCol w:w="3120"/>
        <w:gridCol w:w="3120"/>
        <w:gridCol w:w="3120"/>
      </w:tblGrid>
      <w:tr>
        <w:tc>
          <w:tcPr>
            <w:tcW w:type="dxa" w:w="560"/>
            <w:tcBorders>
              <w:top w:val="nil"/>
              <w:left w:val="nil"/>
              <w:bottom w:val="nil"/>
              <w:right w:val="nil"/>
            </w:tcBorders>
            <w:vAlign w:val="center"/>
          </w:tcPr>
          <w:p>
            <w:pPr>
              <w:pStyle w:val="IEEEEquation"/>
            </w:pPr>
          </w:p>
        </w:tc>
        <w:tc>
          <w:tcPr>
            <w:tcW w:type="dxa" w:w="3920"/>
            <w:tcBorders>
              <w:top w:val="nil"/>
              <w:left w:val="nil"/>
              <w:bottom w:val="nil"/>
              <w:right w:val="nil"/>
            </w:tcBorders>
            <w:vAlign w:val="center"/>
          </w:tcPr>
          <w:p>
            <w:pPr>
              <w:pStyle w:val="IEEEEquation"/>
            </w:pPr>
            <m:oMathPara>
              <m:oMathParaPr>
                <m:jc m:val="center"/>
              </m:oMathParaPr>
              <m:oMath>
                <m:r>
                  <m:t>γ</m:t>
                </m:r>
                <m:r>
                  <m:rPr>
                    <m:sty m:val="p"/>
                  </m:rPr>
                  <m:t>=</m:t>
                </m:r>
                <m:sSub>
                  <m:e>
                    <m:sSup>
                      <m:e>
                        <m:r>
                          <m:t>n</m:t>
                        </m:r>
                      </m:e>
                      <m:sup>
                        <m:r>
                          <m:rPr>
                            <m:sty m:val="p"/>
                          </m:rPr>
                          <m:t>′</m:t>
                        </m:r>
                      </m:sup>
                    </m:sSup>
                  </m:e>
                  <m:sub>
                    <m:r>
                      <m:t>x</m:t>
                    </m:r>
                  </m:sub>
                </m:sSub>
                <m:r>
                  <m:rPr>
                    <m:sty m:val="p"/>
                  </m:rPr>
                  <m:t>/</m:t>
                </m:r>
                <m:r>
                  <m:t>d</m:t>
                </m:r>
                <m:r>
                  <m:rPr>
                    <m:sty m:val="p"/>
                  </m:rPr>
                  <m:t>,</m:t>
                </m:r>
                <m:r>
                  <m:t> </m:t>
                </m:r>
                <m:r>
                  <m:t>  </m:t>
                </m:r>
                <m:acc>
                  <m:accPr>
                    <m:chr m:val="̂"/>
                  </m:accPr>
                  <m:e>
                    <m:r>
                      <m:t>θ</m:t>
                    </m:r>
                  </m:e>
                </m:acc>
                <m:r>
                  <m:rPr>
                    <m:sty m:val="p"/>
                  </m:rPr>
                  <m:t>=</m:t>
                </m:r>
                <m:r>
                  <m:rPr>
                    <m:sty m:val="p"/>
                  </m:rPr>
                  <m:t>arctan</m:t>
                </m:r>
                <m:r>
                  <m:rPr>
                    <m:sty m:val="p"/>
                  </m:rPr>
                  <m:t>(</m:t>
                </m:r>
                <m:r>
                  <m:t>γ</m:t>
                </m:r>
                <m:r>
                  <m:rPr>
                    <m:sty m:val="p"/>
                  </m:rPr>
                  <m:t>/</m:t>
                </m:r>
                <m:r>
                  <m:t>K</m:t>
                </m:r>
                <m:r>
                  <m:rPr>
                    <m:sty m:val="p"/>
                  </m:rPr>
                  <m:t>)</m:t>
                </m:r>
                <m:r>
                  <m:rPr>
                    <m:sty m:val="p"/>
                  </m:rPr>
                  <m:t>,</m:t>
                </m:r>
                <m:r>
                  <m:t> </m:t>
                </m:r>
              </m:oMath>
            </m:oMathPara>
          </w:p>
        </w:tc>
        <w:tc>
          <w:tcPr>
            <w:tcW w:type="dxa" w:w="560"/>
            <w:tcBorders>
              <w:top w:val="nil"/>
              <w:left w:val="nil"/>
              <w:bottom w:val="nil"/>
              <w:right w:val="nil"/>
            </w:tcBorders>
            <w:vAlign w:val="center"/>
          </w:tcPr>
          <w:p>
            <w:pPr>
              <w:pStyle w:val="IEEEEquation"/>
              <w:jc w:val="right"/>
            </w:pPr>
            <w:r>
              <w:t>(4)</w:t>
            </w:r>
          </w:p>
        </w:tc>
      </w:tr>
    </w:tbl>
    <w:p>
      <w:pPr>
        <w:pStyle w:val="FirstParagraph"/>
        <w:ind w:firstLine="0"/>
      </w:pPr>
      <w:r>
        <w:t xml:space="preserve">where</w:t>
      </w:r>
      <w:r>
        <w:t xml:space="preserve"> </w:t>
      </w:r>
      <m:oMath>
        <m:r>
          <m:t>K</m:t>
        </m:r>
        <m:r>
          <m:rPr>
            <m:sty m:val="p"/>
          </m:rPr>
          <m:t>=</m:t>
        </m:r>
        <m:r>
          <m:t>0.690</m:t>
        </m:r>
      </m:oMath>
      <w:r>
        <w:t xml:space="preserve"> </w:t>
      </w:r>
      <w:r>
        <w:t xml:space="preserve">is fitted on a calibration set of real 3-D faces (Section V-E). On 2,998 LFW photographs,</w:t>
      </w:r>
      <w:r>
        <w:t xml:space="preserve"> </w:t>
      </w:r>
      <m:oMath>
        <m:acc>
          <m:accPr>
            <m:chr m:val="̂"/>
          </m:accPr>
          <m:e>
            <m:r>
              <m:t>θ</m:t>
            </m:r>
          </m:e>
        </m:acc>
      </m:oMath>
      <w:r>
        <w:t xml:space="preserve"> </w:t>
      </w:r>
      <w:r>
        <w:t xml:space="preserve">agrees with the 3-D head pose of the MediaPipe face mesh [28] with a Pearson correlation of 0.924 and a mean absolute difference of 3.30</w:t>
      </w:r>
      <m:oMath>
        <m:sSup>
          <m:e>
            <m:r>
              <m:t>​</m:t>
            </m:r>
          </m:e>
          <m:sup>
            <m:r>
              <m:rPr>
                <m:sty m:val="p"/>
              </m:rPr>
              <m:t>∘</m:t>
            </m:r>
          </m:sup>
        </m:sSup>
      </m:oMath>
      <w:r>
        <w:t xml:space="preserve">; the analogous pitch estimate correlates only at 0.49 and is used only to guide enrollment.</w:t>
      </w:r>
    </w:p>
    <w:p>
      <w:pPr>
        <w:pStyle w:val="BodyText"/>
      </w:pPr>
      <w:r xmlns:wps="http://schemas.microsoft.com/office/word/2010/wordprocessingShape">
        <w:drawing>
          <wp:anchor distT="0" distB="101600" distL="0" distR="0" simplePos="0" relativeHeight="251659266" behindDoc="0" locked="0" layoutInCell="1" allowOverlap="0">
            <wp:simplePos x="0" y="0"/>
            <wp:positionH relativeFrom="margin">
              <wp:align>center</wp:align>
            </wp:positionH>
            <wp:positionV relativeFrom="margin">
              <wp:align>top</wp:align>
            </wp:positionV>
            <wp:extent cx="6546850" cy="2432812"/>
            <wp:effectExtent l="0" t="0" r="0" b="0"/>
            <wp:wrapTopAndBottom/>
            <wp:docPr id="5002" name="Figure 2"/>
            <wp:cNvGraphicFramePr/>
            <a:graphic>
              <a:graphicData uri="http://schemas.microsoft.com/office/word/2010/wordprocessingShape">
                <wps:wsp>
                  <wps:cNvSpPr txBox="1"/>
                  <wps:spPr>
                    <a:xfrm>
                      <a:off x="0" y="0"/>
                      <a:ext cx="6546850" cy="2432812"/>
                    </a:xfrm>
                    <a:prstGeom prst="rect">
                      <a:avLst/>
                    </a:prstGeom>
                    <a:noFill/>
                    <a:ln>
                      <a:noFill/>
                    </a:ln>
                  </wps:spPr>
                  <wps:txbx>
                    <w:txbxContent>
                      <w:p>
                        <w:pPr>
                          <w:pStyle w:val="IEEEFigure"/>
                        </w:pPr>
                        <w:r>
                          <w:drawing>
                            <wp:inline>
                              <wp:extent cx="6353345" cy="1858772"/>
                              <wp:docPr id="2" name="Picture 2"/>
                              <wp:cNvGraphicFramePr>
                                <a:graphicFrameLocks noChangeAspect="1"/>
                              </wp:cNvGraphicFramePr>
                              <a:graphic>
                                <a:graphicData uri="http://schemas.openxmlformats.org/drawingml/2006/picture">
                                  <pic:pic>
                                    <pic:nvPicPr>
                                      <pic:cNvPr id="0" name="fig_parallax.png"/>
                                      <pic:cNvPicPr/>
                                    </pic:nvPicPr>
                                    <pic:blipFill>
                                      <a:blip r:embed="rId10"/>
                                      <a:stretch>
                                        <a:fillRect/>
                                      </a:stretch>
                                    </pic:blipFill>
                                    <pic:spPr>
                                      <a:xfrm>
                                        <a:off x="0" y="0"/>
                                        <a:ext cx="6353345" cy="1858772"/>
                                      </a:xfrm>
                                      <a:prstGeom prst="rect"/>
                                    </pic:spPr>
                                  </pic:pic>
                                </a:graphicData>
                              </a:graphic>
                            </wp:inline>
                          </w:drawing>
                        </w:r>
                      </w:p>
                      <w:p>
                        <w:pPr>
                          <w:pStyle w:val="IEEEFigureCaption"/>
                          <w:spacing w:after="200"/>
                        </w:pPr>
                        <w:r>
                          <w:t xml:space="preserve">Fig. 2. </w:t>
                        </w:r>
                        <w:r>
                          <w:t xml:space="preserve">Estimated yaw change against the rotation of a real head, a flat print and a print bent into a cylinder of radius 40 mm, rendered from 150 held-out 3-D face meshes through a webcam model with 1-pixel landmark noise (mean</w:t>
                        </w:r>
                        <w:r>
                          <w:t xml:space="preserve"> </w:t>
                        </w:r>
                        <m:oMath>
                          <m:r>
                            <m:rPr>
                              <m:sty m:val="p"/>
                            </m:rPr>
                            <m:t>±</m:t>
                          </m:r>
                        </m:oMath>
                        <w:r>
                          <w:t xml:space="preserve"> </w:t>
                        </w:r>
                        <w:r>
                          <w:t xml:space="preserve">s.d.; Section V-E). (a) The yaw ratio also responds to tilted prints because of roll leakage. (b) The mean homography parallax of the flat print stays near zero for every angle.</w:t>
                        </w:r>
                      </w:p>
                    </w:txbxContent>
                  </wps:txbx>
                  <wps:bodyPr rot="0" vert="horz" wrap="square" lIns="0" tIns="0" rIns="0" bIns="0" anchor="t" anchorCtr="0">
                    <a:spAutoFit/>
                  </wps:bodyPr>
                </wps:wsp>
              </a:graphicData>
            </a:graphic>
          </wp:anchor>
        </w:drawing>
      </w:r>
      <w:r>
        <w:t xml:space="preserve">Turning a flat photograph by</w:t>
      </w:r>
      <w:r>
        <w:t xml:space="preserve"> </w:t>
      </w:r>
      <m:oMath>
        <m:r>
          <m:t>β</m:t>
        </m:r>
      </m:oMath>
      <w:r>
        <w:t xml:space="preserve"> </w:t>
      </w:r>
      <w:r>
        <w:t xml:space="preserve">about a vertical axis does more than compress it horizontally. A pinhole camera with focal length</w:t>
      </w:r>
      <w:r>
        <w:t xml:space="preserve"> </w:t>
      </w:r>
      <m:oMath>
        <m:r>
          <m:t>f</m:t>
        </m:r>
      </m:oMath>
      <w:r>
        <w:t xml:space="preserve"> </w:t>
      </w:r>
      <w:r>
        <w:t xml:space="preserve">at distance</w:t>
      </w:r>
      <w:r>
        <w:t xml:space="preserve"> </w:t>
      </w:r>
      <m:oMath>
        <m:r>
          <m:t>D</m:t>
        </m:r>
      </m:oMath>
      <w:r>
        <w:t xml:space="preserve"> </w:t>
      </w:r>
      <w:r>
        <w:t xml:space="preserve">images the card point</w:t>
      </w:r>
      <w:r>
        <w:t xml:space="preserve"> </w:t>
      </w:r>
      <m:oMath>
        <m:r>
          <m:rPr>
            <m:sty m:val="p"/>
          </m:rPr>
          <m:t>(</m:t>
        </m:r>
        <m:r>
          <m:t>x</m:t>
        </m:r>
        <m:r>
          <m:rPr>
            <m:sty m:val="p"/>
          </m:rPr>
          <m:t>,</m:t>
        </m:r>
        <m:r>
          <m:t> </m:t>
        </m:r>
        <m:r>
          <m:t>y</m:t>
        </m:r>
        <m:r>
          <m:rPr>
            <m:sty m:val="p"/>
          </m:rPr>
          <m:t>)</m:t>
        </m:r>
      </m:oMath>
      <w:r>
        <w:t xml:space="preserve"> </w:t>
      </w:r>
      <w:r>
        <w:t xml:space="preserve">at</w:t>
      </w:r>
      <w:r>
        <w:t xml:space="preserve"> </w:t>
      </w:r>
      <m:oMath>
        <m:r>
          <m:rPr>
            <m:sty m:val="p"/>
          </m:rPr>
          <m:t>(</m:t>
        </m:r>
        <m:r>
          <m:t>f</m:t>
        </m:r>
        <m:r>
          <m:t>x</m:t>
        </m:r>
        <m:r>
          <m:rPr>
            <m:sty m:val="p"/>
          </m:rPr>
          <m:t>cos</m:t>
        </m:r>
        <m:r>
          <m:t>β</m:t>
        </m:r>
        <m:r>
          <m:rPr>
            <m:sty m:val="p"/>
          </m:rPr>
          <m:t>,</m:t>
        </m:r>
        <m:r>
          <m:t> </m:t>
        </m:r>
        <m:r>
          <m:t> </m:t>
        </m:r>
        <m:r>
          <m:t>f</m:t>
        </m:r>
        <m:r>
          <m:t>y</m:t>
        </m:r>
        <m:r>
          <m:rPr>
            <m:sty m:val="p"/>
          </m:rPr>
          <m:t>)</m:t>
        </m:r>
        <m:r>
          <m:rPr>
            <m:sty m:val="p"/>
          </m:rPr>
          <m:t>/</m:t>
        </m:r>
        <m:r>
          <m:rPr>
            <m:sty m:val="p"/>
          </m:rPr>
          <m:t>(</m:t>
        </m:r>
        <m:r>
          <m:t>D</m:t>
        </m:r>
        <m:r>
          <m:rPr>
            <m:sty m:val="p"/>
          </m:rPr>
          <m:t>+</m:t>
        </m:r>
        <m:r>
          <m:t>x</m:t>
        </m:r>
        <m:r>
          <m:rPr>
            <m:sty m:val="p"/>
          </m:rPr>
          <m:t>sin</m:t>
        </m:r>
        <m:r>
          <m:t>β</m:t>
        </m:r>
        <m:r>
          <m:rPr>
            <m:sty m:val="p"/>
          </m:rPr>
          <m:t>)</m:t>
        </m:r>
      </m:oMath>
      <w:r>
        <w:t xml:space="preserve">, which enlarges the nearer side and slants the eye line by an angle</w:t>
      </w:r>
      <w:r>
        <w:t xml:space="preserve"> </w:t>
      </w:r>
      <m:oMath>
        <m:sSub>
          <m:e>
            <m:r>
              <m:t>ϕ</m:t>
            </m:r>
          </m:e>
          <m:sub>
            <m:r>
              <m:t>β</m:t>
            </m:r>
          </m:sub>
        </m:sSub>
        <m:r>
          <m:rPr>
            <m:sty m:val="p"/>
          </m:rPr>
          <m:t>≠</m:t>
        </m:r>
        <m:r>
          <m:t>0</m:t>
        </m:r>
      </m:oMath>
      <w:r>
        <w:t xml:space="preserve">. Undoing this slant also rotates the nose offset, whose vertical part</w:t>
      </w:r>
      <w:r>
        <w:t xml:space="preserve"> </w:t>
      </w:r>
      <m:oMath>
        <m:r>
          <m:t>h</m:t>
        </m:r>
      </m:oMath>
      <w:r>
        <w:t xml:space="preserve"> </w:t>
      </w:r>
      <w:r>
        <w:t xml:space="preserve">is much larger than its horizontal part, and moves roughly</w:t>
      </w:r>
      <w:r>
        <w:t xml:space="preserve"> </w:t>
      </w:r>
      <m:oMath>
        <m:r>
          <m:t>h</m:t>
        </m:r>
        <m:r>
          <m:rPr>
            <m:sty m:val="p"/>
          </m:rPr>
          <m:t>sin</m:t>
        </m:r>
        <m:sSub>
          <m:e>
            <m:r>
              <m:t>ϕ</m:t>
            </m:r>
          </m:e>
          <m:sub>
            <m:r>
              <m:t>β</m:t>
            </m:r>
          </m:sub>
        </m:sSub>
      </m:oMath>
      <w:r>
        <w:t xml:space="preserve"> </w:t>
      </w:r>
      <w:r>
        <w:t xml:space="preserve">into</w:t>
      </w:r>
      <w:r>
        <w:t xml:space="preserve"> </w:t>
      </w:r>
      <m:oMath>
        <m:sSub>
          <m:e>
            <m:sSup>
              <m:e>
                <m:r>
                  <m:t>n</m:t>
                </m:r>
              </m:e>
              <m:sup>
                <m:r>
                  <m:rPr>
                    <m:sty m:val="p"/>
                  </m:rPr>
                  <m:t>′</m:t>
                </m:r>
              </m:sup>
            </m:sSup>
          </m:e>
          <m:sub>
            <m:r>
              <m:t>x</m:t>
            </m:r>
          </m:sub>
        </m:sSub>
      </m:oMath>
      <w:r>
        <w:t xml:space="preserve">. As Fig. 2(a) shows, the average apparent yaw of a tilted print stays small, but individual faces reach 37.8</w:t>
      </w:r>
      <m:oMath>
        <m:sSup>
          <m:e>
            <m:r>
              <m:t>​</m:t>
            </m:r>
          </m:e>
          <m:sup>
            <m:r>
              <m:rPr>
                <m:sty m:val="p"/>
              </m:rPr>
              <m:t>∘</m:t>
            </m:r>
          </m:sup>
        </m:sSup>
      </m:oMath>
      <w:r>
        <w:t xml:space="preserve"> </w:t>
      </w:r>
      <w:r>
        <w:t xml:space="preserve">of apparent yaw change, enough to pass a head-turn prompt.</w:t>
      </w:r>
    </w:p>
    <w:bookmarkEnd w:id="17"/>
    <w:bookmarkStart w:id="18" w:name="homography-parallax-cue"/>
    <w:p>
      <w:pPr>
        <w:pStyle w:val="Heading2"/>
      </w:pPr>
      <w:r>
        <w:t xml:space="preserve">Homography-Parallax Cue</w:t>
      </w:r>
    </w:p>
    <w:p>
      <w:pPr>
        <w:pStyle w:val="FirstParagraph"/>
      </w:pPr>
      <w:r>
        <w:t xml:space="preserve">The eye centers and mouth corners lie close to one plane, whereas the nose tip sits on average 36.6 mm in front of the eye plane. Denote by</w:t>
      </w:r>
      <w:r>
        <w:t xml:space="preserve"> </w:t>
      </w:r>
      <m:oMath>
        <m:sSub>
          <m:e>
            <m:r>
              <m:rPr>
                <m:sty m:val="b"/>
              </m:rPr>
              <m:t>b</m:t>
            </m:r>
          </m:e>
          <m:sub>
            <m:r>
              <m:t>i</m:t>
            </m:r>
          </m:sub>
        </m:sSub>
      </m:oMath>
      <w:r>
        <w:t xml:space="preserve"> </w:t>
      </w:r>
      <w:r>
        <w:t xml:space="preserve">the landmarks recorded while the user looks straight at the camera, by</w:t>
      </w:r>
      <w:r>
        <w:t xml:space="preserve"> </w:t>
      </w:r>
      <m:oMath>
        <m:sSub>
          <m:e>
            <m:r>
              <m:rPr>
                <m:sty m:val="b"/>
              </m:rPr>
              <m:t>c</m:t>
            </m:r>
          </m:e>
          <m:sub>
            <m:r>
              <m:t>i</m:t>
            </m:r>
          </m:sub>
        </m:sSub>
      </m:oMath>
      <w:r>
        <w:t xml:space="preserve"> </w:t>
      </w:r>
      <w:r>
        <w:t xml:space="preserve">the current ones, and by</w:t>
      </w:r>
      <w:r>
        <w:t xml:space="preserve"> </w:t>
      </w:r>
      <m:oMath>
        <m:sSubSup>
          <m:e>
            <m:r>
              <m:rPr>
                <m:sty m:val="b"/>
              </m:rPr>
              <m:t>b</m:t>
            </m:r>
          </m:e>
          <m:sub>
            <m:r>
              <m:t>i</m:t>
            </m:r>
          </m:sub>
          <m:sup>
            <m:r>
              <m:rPr>
                <m:sty m:val="p"/>
              </m:rPr>
              <m:t>h</m:t>
            </m:r>
          </m:sup>
        </m:sSubSup>
        <m:r>
          <m:rPr>
            <m:sty m:val="p"/>
          </m:rPr>
          <m:t>=</m:t>
        </m:r>
        <m:r>
          <m:rPr>
            <m:sty m:val="p"/>
          </m:rPr>
          <m:t>[</m:t>
        </m:r>
        <m:sSubSup>
          <m:e>
            <m:r>
              <m:rPr>
                <m:sty m:val="b"/>
              </m:rPr>
              <m:t>b</m:t>
            </m:r>
          </m:e>
          <m:sub>
            <m:r>
              <m:t>i</m:t>
            </m:r>
          </m:sub>
          <m:sup>
            <m:r>
              <m:rPr>
                <m:sty m:val="p"/>
              </m:rPr>
              <m:t>⊤</m:t>
            </m:r>
          </m:sup>
        </m:sSubSup>
        <m:r>
          <m:rPr>
            <m:sty m:val="p"/>
          </m:rPr>
          <m:t>,</m:t>
        </m:r>
        <m:r>
          <m:t> </m:t>
        </m:r>
        <m:r>
          <m:t>1</m:t>
        </m:r>
        <m:sSup>
          <m:e>
            <m:r>
              <m:rPr>
                <m:sty m:val="p"/>
              </m:rPr>
              <m:t>]</m:t>
            </m:r>
          </m:e>
          <m:sup>
            <m:r>
              <m:rPr>
                <m:sty m:val="p"/>
              </m:rPr>
              <m:t>⊤</m:t>
            </m:r>
          </m:sup>
        </m:sSup>
      </m:oMath>
      <w:r>
        <w:t xml:space="preserve"> </w:t>
      </w:r>
      <w:r>
        <w:t xml:space="preserve">their homogeneous coordinates. The homography</w:t>
      </w:r>
      <w:r>
        <w:t xml:space="preserve"> </w:t>
      </w:r>
      <m:oMath>
        <m:r>
          <m:rPr>
            <m:sty m:val="b"/>
          </m:rPr>
          <m:t>H</m:t>
        </m:r>
      </m:oMath>
      <w:r>
        <w:t xml:space="preserve"> </w:t>
      </w:r>
      <w:r>
        <w:t xml:space="preserve">with</w:t>
      </w:r>
      <w:r>
        <w:t xml:space="preserve"> </w:t>
      </w:r>
      <m:oMath>
        <m:sSub>
          <m:e>
            <m:r>
              <m:rPr>
                <m:sty m:val="b"/>
              </m:rPr>
              <m:t>c</m:t>
            </m:r>
          </m:e>
          <m:sub>
            <m:r>
              <m:t>i</m:t>
            </m:r>
          </m:sub>
        </m:sSub>
        <m:r>
          <m:rPr>
            <m:sty m:val="p"/>
          </m:rPr>
          <m:t>≃</m:t>
        </m:r>
        <m:r>
          <m:rPr>
            <m:sty m:val="b"/>
          </m:rPr>
          <m:t>H</m:t>
        </m:r>
        <m:sSubSup>
          <m:e>
            <m:r>
              <m:rPr>
                <m:sty m:val="b"/>
              </m:rPr>
              <m:t>b</m:t>
            </m:r>
          </m:e>
          <m:sub>
            <m:r>
              <m:t>i</m:t>
            </m:r>
          </m:sub>
          <m:sup>
            <m:r>
              <m:rPr>
                <m:sty m:val="p"/>
              </m:rPr>
              <m:t>h</m:t>
            </m:r>
          </m:sup>
        </m:sSubSup>
      </m:oMath>
      <w:r>
        <w:t xml:space="preserve"> </w:t>
      </w:r>
      <w:r>
        <w:t xml:space="preserve">for</w:t>
      </w:r>
      <w:r>
        <w:t xml:space="preserve"> </w:t>
      </w:r>
      <m:oMath>
        <m:r>
          <m:t>i</m:t>
        </m:r>
        <m:r>
          <m:rPr>
            <m:sty m:val="p"/>
          </m:rPr>
          <m:t>∈</m:t>
        </m:r>
        <m:r>
          <m:rPr>
            <m:sty m:val="p"/>
          </m:rPr>
          <m:t>{</m:t>
        </m:r>
        <m:r>
          <m:t>1</m:t>
        </m:r>
        <m:r>
          <m:rPr>
            <m:sty m:val="p"/>
          </m:rPr>
          <m:t>,</m:t>
        </m:r>
        <m:r>
          <m:t> </m:t>
        </m:r>
        <m:r>
          <m:t>2</m:t>
        </m:r>
        <m:r>
          <m:rPr>
            <m:sty m:val="p"/>
          </m:rPr>
          <m:t>,</m:t>
        </m:r>
        <m:r>
          <m:t> </m:t>
        </m:r>
        <m:r>
          <m:t>4</m:t>
        </m:r>
        <m:r>
          <m:rPr>
            <m:sty m:val="p"/>
          </m:rPr>
          <m:t>,</m:t>
        </m:r>
        <m:r>
          <m:t> </m:t>
        </m:r>
        <m:r>
          <m:t>5</m:t>
        </m:r>
        <m:r>
          <m:rPr>
            <m:sty m:val="p"/>
          </m:rPr>
          <m:t>}</m:t>
        </m:r>
      </m:oMath>
      <w:r>
        <w:t xml:space="preserve">, where</w:t>
      </w:r>
      <w:r>
        <w:t xml:space="preserve"> </w:t>
      </w:r>
      <m:oMath>
        <m:r>
          <m:rPr>
            <m:sty m:val="p"/>
          </m:rPr>
          <m:t>≃</m:t>
        </m:r>
      </m:oMath>
      <w:r>
        <w:t xml:space="preserve"> </w:t>
      </w:r>
      <w:r>
        <w:t xml:space="preserve">denotes equality up to scale, is obtained by the direct linear transform [29], and four correspondences determine it exactly. Mapping the baseline nose gives the prediction</w:t>
      </w:r>
      <w:r>
        <w:t xml:space="preserve"> </w:t>
      </w:r>
      <m:oMath>
        <m:sSub>
          <m:e>
            <m:acc>
              <m:accPr>
                <m:chr m:val="̂"/>
              </m:accPr>
              <m:e>
                <m:r>
                  <m:rPr>
                    <m:sty m:val="b"/>
                  </m:rPr>
                  <m:t>c</m:t>
                </m:r>
              </m:e>
            </m:acc>
          </m:e>
          <m:sub>
            <m:r>
              <m:t>3</m:t>
            </m:r>
          </m:sub>
        </m:sSub>
        <m:r>
          <m:rPr>
            <m:sty m:val="p"/>
          </m:rPr>
          <m:t>=</m:t>
        </m:r>
        <m:r>
          <m:t>η</m:t>
        </m:r>
        <m:r>
          <m:rPr>
            <m:sty m:val="p"/>
          </m:rPr>
          <m:t>(</m:t>
        </m:r>
        <m:r>
          <m:rPr>
            <m:sty m:val="b"/>
          </m:rPr>
          <m:t>H</m:t>
        </m:r>
        <m:sSubSup>
          <m:e>
            <m:r>
              <m:rPr>
                <m:sty m:val="b"/>
              </m:rPr>
              <m:t>b</m:t>
            </m:r>
          </m:e>
          <m:sub>
            <m:r>
              <m:t>3</m:t>
            </m:r>
          </m:sub>
          <m:sup>
            <m:r>
              <m:rPr>
                <m:sty m:val="p"/>
              </m:rPr>
              <m:t>h</m:t>
            </m:r>
          </m:sup>
        </m:sSubSup>
        <m:r>
          <m:rPr>
            <m:sty m:val="p"/>
          </m:rPr>
          <m:t>)</m:t>
        </m:r>
      </m:oMath>
      <w:r>
        <w:t xml:space="preserve">, where</w:t>
      </w:r>
      <w:r>
        <w:t xml:space="preserve"> </w:t>
      </w:r>
      <m:oMath>
        <m:r>
          <m:t>η</m:t>
        </m:r>
      </m:oMath>
      <w:r>
        <w:t xml:space="preserve"> </w:t>
      </w:r>
      <w:r>
        <w:t xml:space="preserve">divides by the third coordinate, and we define the parallax ratio and the parallax yaw</w:t>
      </w:r>
    </w:p>
    <w:tbl>
      <w:tblPr>
        <w:tblW w:type="auto" w:w="0"/>
        <w:tblBorders>
          <w:top w:val="nil"/>
          <w:left w:val="nil"/>
          <w:bottom w:val="nil"/>
          <w:right w:val="nil"/>
          <w:insideH w:val="nil"/>
          <w:insideV w:val="nil"/>
        </w:tblBorders>
        <w:tblLayout w:type="fixed"/>
        <w:tblCellMar>
          <w:left w:w="0" w:type="dxa"/>
          <w:right w:w="0" w:type="dxa"/>
        </w:tblCellMar>
        <w:tblCaption w:val="Equation 5"/>
      </w:tblPr>
      <w:tblGrid>
        <w:gridCol w:w="3120"/>
        <w:gridCol w:w="3120"/>
        <w:gridCol w:w="3120"/>
      </w:tblGrid>
      <w:tr>
        <w:tc>
          <w:tcPr>
            <w:tcW w:type="dxa" w:w="560"/>
            <w:tcBorders>
              <w:top w:val="nil"/>
              <w:left w:val="nil"/>
              <w:bottom w:val="nil"/>
              <w:right w:val="nil"/>
            </w:tcBorders>
            <w:vAlign w:val="center"/>
          </w:tcPr>
          <w:p>
            <w:pPr>
              <w:pStyle w:val="IEEEEquation"/>
            </w:pPr>
          </w:p>
        </w:tc>
        <w:tc>
          <w:tcPr>
            <w:tcW w:type="dxa" w:w="3920"/>
            <w:tcBorders>
              <w:top w:val="nil"/>
              <w:left w:val="nil"/>
              <w:bottom w:val="nil"/>
              <w:right w:val="nil"/>
            </w:tcBorders>
            <w:vAlign w:val="center"/>
          </w:tcPr>
          <w:p>
            <w:pPr>
              <w:pStyle w:val="IEEEEquation"/>
            </w:pPr>
            <m:oMathPara>
              <m:oMathParaPr>
                <m:jc m:val="center"/>
              </m:oMathParaPr>
              <m:oMath>
                <m:r>
                  <m:t>ρ</m:t>
                </m:r>
                <m:r>
                  <m:rPr>
                    <m:sty m:val="p"/>
                  </m:rPr>
                  <m:t>=</m:t>
                </m:r>
                <m:f>
                  <m:fPr>
                    <m:type m:val="bar"/>
                  </m:fPr>
                  <m:num>
                    <m:r>
                      <m:rPr>
                        <m:sty m:val="p"/>
                      </m:rPr>
                      <m:t>(</m:t>
                    </m:r>
                    <m:sSub>
                      <m:e>
                        <m:r>
                          <m:rPr>
                            <m:sty m:val="b"/>
                          </m:rPr>
                          <m:t>c</m:t>
                        </m:r>
                      </m:e>
                      <m:sub>
                        <m:r>
                          <m:t>3</m:t>
                        </m:r>
                      </m:sub>
                    </m:sSub>
                    <m:r>
                      <m:rPr>
                        <m:sty m:val="p"/>
                      </m:rPr>
                      <m:t>−</m:t>
                    </m:r>
                    <m:sSub>
                      <m:e>
                        <m:acc>
                          <m:accPr>
                            <m:chr m:val="̂"/>
                          </m:accPr>
                          <m:e>
                            <m:r>
                              <m:rPr>
                                <m:sty m:val="b"/>
                              </m:rPr>
                              <m:t>c</m:t>
                            </m:r>
                          </m:e>
                        </m:acc>
                      </m:e>
                      <m:sub>
                        <m:r>
                          <m:t>3</m:t>
                        </m:r>
                      </m:sub>
                    </m:sSub>
                    <m:sSup>
                      <m:e>
                        <m:r>
                          <m:rPr>
                            <m:sty m:val="p"/>
                          </m:rPr>
                          <m:t>)</m:t>
                        </m:r>
                      </m:e>
                      <m:sup>
                        <m:r>
                          <m:rPr>
                            <m:sty m:val="p"/>
                          </m:rPr>
                          <m:t>⊤</m:t>
                        </m:r>
                      </m:sup>
                    </m:sSup>
                    <m:r>
                      <m:rPr>
                        <m:sty m:val="b"/>
                      </m:rPr>
                      <m:t>u</m:t>
                    </m:r>
                  </m:num>
                  <m:den>
                    <m:r>
                      <m:t>d</m:t>
                    </m:r>
                  </m:den>
                </m:f>
                <m:r>
                  <m:rPr>
                    <m:sty m:val="p"/>
                  </m:rPr>
                  <m:t>,</m:t>
                </m:r>
                <m:r>
                  <m:t> </m:t>
                </m:r>
                <m:r>
                  <m:t>  </m:t>
                </m:r>
                <m:r>
                  <m:t>ψ</m:t>
                </m:r>
                <m:r>
                  <m:rPr>
                    <m:sty m:val="p"/>
                  </m:rPr>
                  <m:t>=</m:t>
                </m:r>
                <m:r>
                  <m:rPr>
                    <m:sty m:val="p"/>
                  </m:rPr>
                  <m:t>arctan</m:t>
                </m:r>
                <m:r>
                  <m:rPr>
                    <m:sty m:val="p"/>
                  </m:rPr>
                  <m:t>(</m:t>
                </m:r>
                <m:r>
                  <m:t>ρ</m:t>
                </m:r>
                <m:r>
                  <m:rPr>
                    <m:sty m:val="p"/>
                  </m:rPr>
                  <m:t>/</m:t>
                </m:r>
                <m:sSub>
                  <m:e>
                    <m:r>
                      <m:t>K</m:t>
                    </m:r>
                  </m:e>
                  <m:sub>
                    <m:r>
                      <m:t>p</m:t>
                    </m:r>
                  </m:sub>
                </m:sSub>
                <m:r>
                  <m:rPr>
                    <m:sty m:val="p"/>
                  </m:rPr>
                  <m:t>)</m:t>
                </m:r>
                <m:r>
                  <m:rPr>
                    <m:sty m:val="p"/>
                  </m:rPr>
                  <m:t>,</m:t>
                </m:r>
                <m:r>
                  <m:t> </m:t>
                </m:r>
              </m:oMath>
            </m:oMathPara>
          </w:p>
        </w:tc>
        <w:tc>
          <w:tcPr>
            <w:tcW w:type="dxa" w:w="560"/>
            <w:tcBorders>
              <w:top w:val="nil"/>
              <w:left w:val="nil"/>
              <w:bottom w:val="nil"/>
              <w:right w:val="nil"/>
            </w:tcBorders>
            <w:vAlign w:val="center"/>
          </w:tcPr>
          <w:p>
            <w:pPr>
              <w:pStyle w:val="IEEEEquation"/>
              <w:jc w:val="right"/>
            </w:pPr>
            <w:r>
              <w:t>(5)</w:t>
            </w:r>
          </w:p>
        </w:tc>
      </w:tr>
    </w:tbl>
    <w:p>
      <w:pPr>
        <w:pStyle w:val="FirstParagraph"/>
        <w:ind w:firstLine="0"/>
      </w:pPr>
      <w:r>
        <w:t xml:space="preserve">with</w:t>
      </w:r>
      <w:r>
        <w:t xml:space="preserve"> </w:t>
      </w:r>
      <m:oMath>
        <m:sSub>
          <m:e>
            <m:r>
              <m:t>K</m:t>
            </m:r>
          </m:e>
          <m:sub>
            <m:r>
              <m:t>p</m:t>
            </m:r>
          </m:sub>
        </m:sSub>
        <m:r>
          <m:rPr>
            <m:sty m:val="p"/>
          </m:rPr>
          <m:t>=</m:t>
        </m:r>
        <m:r>
          <m:t>0.628</m:t>
        </m:r>
      </m:oMath>
      <w:r>
        <w:t xml:space="preserve"> </w:t>
      </w:r>
      <w:r>
        <w:t xml:space="preserve">fitted on the calibration set.</w:t>
      </w:r>
    </w:p>
    <w:p>
      <w:pPr>
        <w:pStyle w:val="BodyText"/>
      </w:pPr>
      <w:r>
        <w:rPr>
          <w:b/>
          <w:bCs/>
        </w:rPr>
        <w:t xml:space="preserve">Proposition 1.</w:t>
      </w:r>
      <w:r>
        <w:t xml:space="preserve"> </w:t>
      </w:r>
      <w:r>
        <w:rPr>
          <w:i/>
          <w:iCs/>
        </w:rPr>
        <w:t xml:space="preserve">If the five landmarks lie on a plane, i.e. for any flat print or screen, and are observed without noise by a pinhole camera, then</w:t>
      </w:r>
      <w:r>
        <w:rPr>
          <w:i/>
          <w:iCs/>
        </w:rPr>
        <w:t xml:space="preserve"> </w:t>
      </w:r>
      <m:oMath>
        <m:r>
          <m:t>ρ</m:t>
        </m:r>
        <m:r>
          <m:rPr>
            <m:sty m:val="p"/>
          </m:rPr>
          <m:t>=</m:t>
        </m:r>
        <m:r>
          <m:t>0</m:t>
        </m:r>
      </m:oMath>
      <w:r>
        <w:rPr>
          <w:i/>
          <w:iCs/>
        </w:rPr>
        <w:t xml:space="preserve"> </w:t>
      </w:r>
      <w:r>
        <w:rPr>
          <w:i/>
          <w:iCs/>
        </w:rPr>
        <w:t xml:space="preserve">for every rigid motion of the plane.</w:t>
      </w:r>
    </w:p>
    <w:p>
      <w:pPr>
        <w:pStyle w:val="BodyText"/>
        <w:tabs>
          <w:tab w:pos="5040" w:val="right"/>
        </w:tabs>
      </w:pPr>
      <w:r>
        <w:rPr>
          <w:i/>
          <w:iCs/>
        </w:rPr>
        <w:t xml:space="preserve">Proof.</w:t>
      </w:r>
      <w:r>
        <w:t xml:space="preserve"> </w:t>
      </w:r>
      <w:r>
        <w:t xml:space="preserve">A scene plane is mapped to the image by a homography, so the baseline and current views of the plane differ by some homography</w:t>
      </w:r>
      <w:r>
        <w:t xml:space="preserve"> </w:t>
      </w:r>
      <m:oMath>
        <m:sSub>
          <m:e>
            <m:r>
              <m:rPr>
                <m:sty m:val="b"/>
              </m:rPr>
              <m:t>H</m:t>
            </m:r>
          </m:e>
          <m:sub>
            <m:r>
              <m:t>0</m:t>
            </m:r>
          </m:sub>
        </m:sSub>
      </m:oMath>
      <w:r>
        <w:t xml:space="preserve">. Since four points in general position determine a homography uniquely,</w:t>
      </w:r>
      <w:r>
        <w:t xml:space="preserve"> </w:t>
      </w:r>
      <m:oMath>
        <m:r>
          <m:rPr>
            <m:sty m:val="b"/>
          </m:rPr>
          <m:t>H</m:t>
        </m:r>
        <m:r>
          <m:rPr>
            <m:sty m:val="p"/>
          </m:rPr>
          <m:t>=</m:t>
        </m:r>
        <m:sSub>
          <m:e>
            <m:r>
              <m:rPr>
                <m:sty m:val="b"/>
              </m:rPr>
              <m:t>H</m:t>
            </m:r>
          </m:e>
          <m:sub>
            <m:r>
              <m:t>0</m:t>
            </m:r>
          </m:sub>
        </m:sSub>
      </m:oMath>
      <w:r>
        <w:t xml:space="preserve">. The nose lies on the same plane, hence</w:t>
      </w:r>
      <w:r>
        <w:t xml:space="preserve"> </w:t>
      </w:r>
      <m:oMath>
        <m:sSub>
          <m:e>
            <m:r>
              <m:rPr>
                <m:sty m:val="b"/>
              </m:rPr>
              <m:t>c</m:t>
            </m:r>
          </m:e>
          <m:sub>
            <m:r>
              <m:t>3</m:t>
            </m:r>
          </m:sub>
        </m:sSub>
        <m:r>
          <m:rPr>
            <m:sty m:val="p"/>
          </m:rPr>
          <m:t>≃</m:t>
        </m:r>
        <m:sSub>
          <m:e>
            <m:r>
              <m:rPr>
                <m:sty m:val="b"/>
              </m:rPr>
              <m:t>H</m:t>
            </m:r>
          </m:e>
          <m:sub>
            <m:r>
              <m:t>0</m:t>
            </m:r>
          </m:sub>
        </m:sSub>
        <m:sSubSup>
          <m:e>
            <m:r>
              <m:rPr>
                <m:sty m:val="b"/>
              </m:rPr>
              <m:t>b</m:t>
            </m:r>
          </m:e>
          <m:sub>
            <m:r>
              <m:t>3</m:t>
            </m:r>
          </m:sub>
          <m:sup>
            <m:r>
              <m:rPr>
                <m:sty m:val="p"/>
              </m:rPr>
              <m:t>h</m:t>
            </m:r>
          </m:sup>
        </m:sSubSup>
      </m:oMath>
      <w:r>
        <w:t xml:space="preserve"> </w:t>
      </w:r>
      <w:r>
        <w:t xml:space="preserve">and</w:t>
      </w:r>
      <w:r>
        <w:t xml:space="preserve"> </w:t>
      </w:r>
      <m:oMath>
        <m:sSub>
          <m:e>
            <m:acc>
              <m:accPr>
                <m:chr m:val="̂"/>
              </m:accPr>
              <m:e>
                <m:r>
                  <m:rPr>
                    <m:sty m:val="b"/>
                  </m:rPr>
                  <m:t>c</m:t>
                </m:r>
              </m:e>
            </m:acc>
          </m:e>
          <m:sub>
            <m:r>
              <m:t>3</m:t>
            </m:r>
          </m:sub>
        </m:sSub>
        <m:r>
          <m:rPr>
            <m:sty m:val="p"/>
          </m:rPr>
          <m:t>=</m:t>
        </m:r>
        <m:sSub>
          <m:e>
            <m:r>
              <m:rPr>
                <m:sty m:val="b"/>
              </m:rPr>
              <m:t>c</m:t>
            </m:r>
          </m:e>
          <m:sub>
            <m:r>
              <m:t>3</m:t>
            </m:r>
          </m:sub>
        </m:sSub>
      </m:oMath>
      <w:r>
        <w:t xml:space="preserve">.</w:t>
      </w:r>
      <w:r>
        <w:tab/>
        <w:t>□</w:t>
      </w:r>
    </w:p>
    <w:p>
      <w:pPr>
        <w:pStyle w:val="BodyText"/>
      </w:pPr>
      <w:r>
        <w:t xml:space="preserve">When a real head turns, the protruding nose leaves its predicted position and</w:t>
      </w:r>
      <w:r>
        <w:t xml:space="preserve"> </w:t>
      </w:r>
      <m:oMath>
        <m:r>
          <m:t>ψ</m:t>
        </m:r>
      </m:oMath>
      <w:r>
        <w:t xml:space="preserve"> </w:t>
      </w:r>
      <w:r>
        <w:t xml:space="preserve">follows the rotation (Fig. 2(b)). In practice landmark noise and lens distortion make</w:t>
      </w:r>
      <w:r>
        <w:t xml:space="preserve"> </w:t>
      </w:r>
      <m:oMath>
        <m:r>
          <m:t>ρ</m:t>
        </m:r>
      </m:oMath>
      <w:r>
        <w:t xml:space="preserve"> </w:t>
      </w:r>
      <w:r>
        <w:t xml:space="preserve">small but nonzero for flat prints, which the acceptance threshold has to absorb (Section V-E), and a print bent into a cylinder is no longer planar and produces some parallax, although far less than a head. The test reuses the detector’s landmarks and costs one</w:t>
      </w:r>
      <w:r>
        <w:t xml:space="preserve"> </w:t>
      </w:r>
      <m:oMath>
        <m:r>
          <m:t>8</m:t>
        </m:r>
        <m:r>
          <m:rPr>
            <m:sty m:val="p"/>
          </m:rPr>
          <m:t>×</m:t>
        </m:r>
        <m:r>
          <m:t>8</m:t>
        </m:r>
      </m:oMath>
      <w:r>
        <w:t xml:space="preserve"> </w:t>
      </w:r>
      <w:r>
        <w:t xml:space="preserve">linear solve per frame.</w:t>
      </w:r>
    </w:p>
    <w:bookmarkEnd w:id="18"/>
    <w:bookmarkStart w:id="19" w:name="challenge-response-protocol"/>
    <w:p>
      <w:pPr>
        <w:pStyle w:val="Heading2"/>
      </w:pPr>
      <w:r>
        <w:t xml:space="preserve">Challenge-Response Protocol</w:t>
      </w:r>
    </w:p>
    <w:p>
      <w:pPr>
        <w:pStyle w:val="FirstParagraph"/>
      </w:pPr>
      <w:r>
        <w:t xml:space="preserve">A face-unlock session (Algorithm 1) passes through the phases</w:t>
      </w:r>
      <w:r>
        <w:t xml:space="preserve"> </w:t>
      </w:r>
      <w:r>
        <w:rPr>
          <w:i/>
          <w:iCs/>
        </w:rPr>
        <w:t xml:space="preserve">align</w:t>
      </w:r>
      <w:r>
        <w:t xml:space="preserve">,</w:t>
      </w:r>
      <w:r>
        <w:t xml:space="preserve"> </w:t>
      </w:r>
      <w:r>
        <w:rPr>
          <w:i/>
          <w:iCs/>
        </w:rPr>
        <w:t xml:space="preserve">challenge</w:t>
      </w:r>
      <m:oMath>
        <m:sSub>
          <m:e>
            <m:r>
              <m:t>​</m:t>
            </m:r>
          </m:e>
          <m:sub>
            <m:r>
              <m:t>i</m:t>
            </m:r>
          </m:sub>
        </m:sSub>
      </m:oMath>
      <w:r>
        <w:t xml:space="preserve">,</w:t>
      </w:r>
      <w:r>
        <w:t xml:space="preserve"> </w:t>
      </w:r>
      <w:r>
        <w:rPr>
          <w:i/>
          <w:iCs/>
        </w:rPr>
        <w:t xml:space="preserve">recenter</w:t>
      </w:r>
      <w:r>
        <w:t xml:space="preserve"> </w:t>
      </w:r>
      <w:r>
        <w:t xml:space="preserve">and</w:t>
      </w:r>
      <w:r>
        <w:t xml:space="preserve"> </w:t>
      </w:r>
      <w:r>
        <w:rPr>
          <w:i/>
          <w:iCs/>
        </w:rPr>
        <w:t xml:space="preserve">final</w:t>
      </w:r>
      <w:r>
        <w:t xml:space="preserve">. While aligning, the user looks at the camera for four frames, and the session stores the baseline yaw</w:t>
      </w:r>
      <w:r>
        <w:t xml:space="preserve"> </w:t>
      </w:r>
      <m:oMath>
        <m:sSub>
          <m:e>
            <m:acc>
              <m:accPr>
                <m:chr m:val="̂"/>
              </m:accPr>
              <m:e>
                <m:r>
                  <m:t>θ</m:t>
                </m:r>
              </m:e>
            </m:acc>
          </m:e>
          <m:sub>
            <m:r>
              <m:t>0</m:t>
            </m:r>
          </m:sub>
        </m:sSub>
      </m:oMath>
      <w:r>
        <w:t xml:space="preserve">, the baseline blink and smile scores</w:t>
      </w:r>
      <w:r>
        <w:t xml:space="preserve"> </w:t>
      </w:r>
      <m:oMath>
        <m:sSub>
          <m:e>
            <m:r>
              <m:t>b</m:t>
            </m:r>
          </m:e>
          <m:sub>
            <m:r>
              <m:t>0</m:t>
            </m:r>
          </m:sub>
        </m:sSub>
      </m:oMath>
      <w:r>
        <w:t xml:space="preserve"> </w:t>
      </w:r>
      <w:r>
        <w:t xml:space="preserve">and</w:t>
      </w:r>
      <w:r>
        <w:t xml:space="preserve"> </w:t>
      </w:r>
      <m:oMath>
        <m:sSub>
          <m:e>
            <m:r>
              <m:t>s</m:t>
            </m:r>
          </m:e>
          <m:sub>
            <m:r>
              <m:t>0</m:t>
            </m:r>
          </m:sub>
        </m:sSub>
      </m:oMath>
      <w:r>
        <w:t xml:space="preserve">, the baseline landmarks</w:t>
      </w:r>
      <w:r>
        <w:t xml:space="preserve"> </w:t>
      </w:r>
      <m:oMath>
        <m:sSub>
          <m:e>
            <m:r>
              <m:rPr>
                <m:sty m:val="b"/>
              </m:rPr>
              <m:t>b</m:t>
            </m:r>
          </m:e>
          <m:sub>
            <m:r>
              <m:t>i</m:t>
            </m:r>
          </m:sub>
        </m:sSub>
      </m:oMath>
      <w:r>
        <w:t xml:space="preserve"> </w:t>
      </w:r>
      <w:r>
        <w:t xml:space="preserve">and a reference embedding. It then asks for</w:t>
      </w:r>
      <w:r>
        <w:t xml:space="preserve"> </w:t>
      </w:r>
      <m:oMath>
        <m:r>
          <m:t>n</m:t>
        </m:r>
        <m:r>
          <m:rPr>
            <m:sty m:val="p"/>
          </m:rPr>
          <m:t>=</m:t>
        </m:r>
        <m:r>
          <m:t>3</m:t>
        </m:r>
      </m:oMath>
      <w:r>
        <w:t xml:space="preserve"> </w:t>
      </w:r>
      <w:r>
        <w:t xml:space="preserve">actions drawn without replacement from</w:t>
      </w:r>
      <w:r>
        <w:t xml:space="preserve"> </w:t>
      </w:r>
      <m:oMath>
        <m:r>
          <m:rPr>
            <m:sty m:val="p"/>
          </m:rPr>
          <m:t>{</m:t>
        </m:r>
      </m:oMath>
      <w:r>
        <w:t xml:space="preserve">turn left, turn right, blink, smile</w:t>
      </w:r>
      <m:oMath>
        <m:r>
          <m:rPr>
            <m:sty m:val="p"/>
          </m:rPr>
          <m:t>}</m:t>
        </m:r>
      </m:oMath>
      <w:r>
        <w:t xml:space="preserve">, so every sequence contains at least one turn and one expression; without a face mesh only turns are requested, never the same one twice in a row. A turn is accepted after two consecutive frames with</w:t>
      </w:r>
      <w:r>
        <w:t xml:space="preserve"> </w:t>
      </w:r>
      <m:oMath>
        <m:r>
          <m:rPr>
            <m:sty m:val="p"/>
          </m:rPr>
          <m:t>±</m:t>
        </m:r>
        <m:r>
          <m:rPr>
            <m:sty m:val="p"/>
          </m:rPr>
          <m:t>(</m:t>
        </m:r>
        <m:acc>
          <m:accPr>
            <m:chr m:val="̂"/>
          </m:accPr>
          <m:e>
            <m:r>
              <m:t>θ</m:t>
            </m:r>
          </m:e>
        </m:acc>
        <m:r>
          <m:rPr>
            <m:sty m:val="p"/>
          </m:rPr>
          <m:t>−</m:t>
        </m:r>
        <m:sSub>
          <m:e>
            <m:acc>
              <m:accPr>
                <m:chr m:val="̂"/>
              </m:accPr>
              <m:e>
                <m:r>
                  <m:t>θ</m:t>
                </m:r>
              </m:e>
            </m:acc>
          </m:e>
          <m:sub>
            <m:r>
              <m:t>0</m:t>
            </m:r>
          </m:sub>
        </m:sSub>
        <m:r>
          <m:rPr>
            <m:sty m:val="p"/>
          </m:rPr>
          <m:t>)</m:t>
        </m:r>
        <m:r>
          <m:rPr>
            <m:sty m:val="p"/>
          </m:rPr>
          <m:t>≥</m:t>
        </m:r>
        <m:sSub>
          <m:e>
            <m:r>
              <m:t>τ</m:t>
            </m:r>
          </m:e>
          <m:sub>
            <m:r>
              <m:t>θ</m:t>
            </m:r>
          </m:sub>
        </m:sSub>
      </m:oMath>
      <w:r>
        <w:t xml:space="preserve"> </w:t>
      </w:r>
      <w:r>
        <w:t xml:space="preserve">and</w:t>
      </w:r>
      <w:r>
        <w:t xml:space="preserve"> </w:t>
      </w:r>
      <m:oMath>
        <m:r>
          <m:rPr>
            <m:sty m:val="p"/>
          </m:rPr>
          <m:t>±</m:t>
        </m:r>
        <m:r>
          <m:t>ψ</m:t>
        </m:r>
        <m:r>
          <m:rPr>
            <m:sty m:val="p"/>
          </m:rPr>
          <m:t>≥</m:t>
        </m:r>
        <m:r>
          <m:t>0.8</m:t>
        </m:r>
        <m:r>
          <m:t> </m:t>
        </m:r>
        <m:r>
          <m:t> </m:t>
        </m:r>
        <m:sSub>
          <m:e>
            <m:r>
              <m:t>τ</m:t>
            </m:r>
          </m:e>
          <m:sub>
            <m:r>
              <m:t>θ</m:t>
            </m:r>
          </m:sub>
        </m:sSub>
      </m:oMath>
      <w:r>
        <w:t xml:space="preserve">, where</w:t>
      </w:r>
      <w:r>
        <w:t xml:space="preserve"> </w:t>
      </w:r>
      <m:oMath>
        <m:sSub>
          <m:e>
            <m:r>
              <m:t>τ</m:t>
            </m:r>
          </m:e>
          <m:sub>
            <m:r>
              <m:t>θ</m:t>
            </m:r>
          </m:sub>
        </m:sSub>
        <m:r>
          <m:rPr>
            <m:sty m:val="p"/>
          </m:rPr>
          <m:t>=</m:t>
        </m:r>
        <m:sSup>
          <m:e>
            <m:r>
              <m:t>18</m:t>
            </m:r>
          </m:e>
          <m:sup>
            <m:r>
              <m:rPr>
                <m:sty m:val="p"/>
              </m:rPr>
              <m:t>∘</m:t>
            </m:r>
          </m:sup>
        </m:sSup>
      </m:oMath>
      <w:r>
        <w:t xml:space="preserve">. Using the blendshape scores of the face mesh, a blink must lift the blink score above</w:t>
      </w:r>
      <w:r>
        <w:t xml:space="preserve"> </w:t>
      </w:r>
      <m:oMath>
        <m:r>
          <m:rPr>
            <m:sty m:val="p"/>
          </m:rPr>
          <m:t>max</m:t>
        </m:r>
        <m:r>
          <m:rPr>
            <m:sty m:val="p"/>
          </m:rPr>
          <m:t>(</m:t>
        </m:r>
        <m:r>
          <m:t>0.30</m:t>
        </m:r>
        <m:r>
          <m:rPr>
            <m:sty m:val="p"/>
          </m:rPr>
          <m:t>,</m:t>
        </m:r>
        <m:r>
          <m:t> </m:t>
        </m:r>
        <m:sSub>
          <m:e>
            <m:r>
              <m:t>b</m:t>
            </m:r>
          </m:e>
          <m:sub>
            <m:r>
              <m:t>0</m:t>
            </m:r>
          </m:sub>
        </m:sSub>
        <m:r>
          <m:rPr>
            <m:sty m:val="p"/>
          </m:rPr>
          <m:t>+</m:t>
        </m:r>
        <m:r>
          <m:t>0.20</m:t>
        </m:r>
        <m:r>
          <m:rPr>
            <m:sty m:val="p"/>
          </m:rPr>
          <m:t>)</m:t>
        </m:r>
      </m:oMath>
      <w:r>
        <w:t xml:space="preserve"> </w:t>
      </w:r>
      <w:r>
        <w:t xml:space="preserve">and let it fall below</w:t>
      </w:r>
      <w:r>
        <w:t xml:space="preserve"> </w:t>
      </w:r>
      <m:oMath>
        <m:r>
          <m:rPr>
            <m:sty m:val="p"/>
          </m:rPr>
          <m:t>max</m:t>
        </m:r>
        <m:r>
          <m:rPr>
            <m:sty m:val="p"/>
          </m:rPr>
          <m:t>(</m:t>
        </m:r>
        <m:r>
          <m:t>0.20</m:t>
        </m:r>
        <m:r>
          <m:rPr>
            <m:sty m:val="p"/>
          </m:rPr>
          <m:t>,</m:t>
        </m:r>
        <m:r>
          <m:t> </m:t>
        </m:r>
        <m:sSub>
          <m:e>
            <m:r>
              <m:t>b</m:t>
            </m:r>
          </m:e>
          <m:sub>
            <m:r>
              <m:t>0</m:t>
            </m:r>
          </m:sub>
        </m:sSub>
        <m:r>
          <m:rPr>
            <m:sty m:val="p"/>
          </m:rPr>
          <m:t>+</m:t>
        </m:r>
        <m:r>
          <m:t>0.10</m:t>
        </m:r>
        <m:r>
          <m:rPr>
            <m:sty m:val="p"/>
          </m:rPr>
          <m:t>)</m:t>
        </m:r>
      </m:oMath>
      <w:r>
        <w:t xml:space="preserve"> </w:t>
      </w:r>
      <w:r>
        <w:t xml:space="preserve">again, and a smile must hold the smile score above</w:t>
      </w:r>
      <w:r>
        <w:t xml:space="preserve"> </w:t>
      </w:r>
      <m:oMath>
        <m:r>
          <m:rPr>
            <m:sty m:val="p"/>
          </m:rPr>
          <m:t>max</m:t>
        </m:r>
        <m:r>
          <m:rPr>
            <m:sty m:val="p"/>
          </m:rPr>
          <m:t>(</m:t>
        </m:r>
        <m:r>
          <m:t>0.5</m:t>
        </m:r>
        <m:r>
          <m:rPr>
            <m:sty m:val="p"/>
          </m:rPr>
          <m:t>,</m:t>
        </m:r>
        <m:r>
          <m:t> </m:t>
        </m:r>
        <m:sSub>
          <m:e>
            <m:r>
              <m:t>s</m:t>
            </m:r>
          </m:e>
          <m:sub>
            <m:r>
              <m:t>0</m:t>
            </m:r>
          </m:sub>
        </m:sSub>
        <m:r>
          <m:rPr>
            <m:sty m:val="p"/>
          </m:rPr>
          <m:t>+</m:t>
        </m:r>
        <m:r>
          <m:t>0.3</m:t>
        </m:r>
        <m:r>
          <m:rPr>
            <m:sty m:val="p"/>
          </m:rPr>
          <m:t>)</m:t>
        </m:r>
      </m:oMath>
      <w:r>
        <w:t xml:space="preserve"> </w:t>
      </w:r>
      <w:r>
        <w:t xml:space="preserve">for two frames; the thresholds are relative to the user’s baseline so that people with a high resting score are not rejected.</w:t>
      </w:r>
    </w:p>
    <w:p>
      <w:pPr>
        <w:pStyle w:val="IEEEAlgorithm"/>
        <w:keepNext/>
        <w:pBdr>
          <w:top w:val="single" w:sz="12" w:space="1" w:color="000000"/>
          <w:bottom w:val="single" w:sz="6" w:space="1" w:color="000000"/>
        </w:pBdr>
        <w:spacing w:before="160"/>
      </w:pPr>
      <w:r>
        <w:t xml:space="preserve"/>
      </w:r>
      <w:r>
        <w:t xml:space="preserve"/>
      </w:r>
      <w:r>
        <w:rPr>
          <w:b/>
          <w:bCs/>
        </w:rPr>
        <w:t xml:space="preserve">Algorithm 1</w:t>
      </w:r>
      <w:r>
        <w:t xml:space="preserve"> </w:t>
      </w:r>
      <w:r>
        <w:t xml:space="preserve">Face-unlock liveness session</w:t>
      </w:r>
    </w:p>
    <w:p>
      <w:pPr>
        <w:pStyle w:val="IEEEAlgorithm"/>
        <w:keepNext/>
        <w:tabs>
          <w:tab w:pos="346" w:val="left"/>
        </w:tabs>
        <w:ind w:left="346" w:hanging="346"/>
      </w:pPr>
      <w:r>
        <w:t xml:space="preserve"/>
        <w:tab/>
      </w:r>
      <w:r>
        <w:t xml:space="preserve"/>
      </w:r>
      <w:r>
        <w:t xml:space="preserve"/>
      </w:r>
      <w:r>
        <w:rPr>
          <w:b/>
          <w:bCs/>
        </w:rPr>
        <w:t xml:space="preserve">Input:</w:t>
      </w:r>
      <w:r>
        <w:t xml:space="preserve"> </w:t>
      </w:r>
      <w:r>
        <w:t xml:space="preserve">frames with landmarks, yaw</w:t>
      </w:r>
      <w:r>
        <w:t xml:space="preserve"> </w:t>
      </w:r>
      <m:oMath>
        <m:acc>
          <m:accPr>
            <m:chr m:val="̂"/>
          </m:accPr>
          <m:e>
            <m:r>
              <m:t>θ</m:t>
            </m:r>
          </m:e>
        </m:acc>
      </m:oMath>
      <w:r>
        <w:t xml:space="preserve">, blink and smile scores, embeddings</w:t>
      </w:r>
    </w:p>
    <w:p>
      <w:pPr>
        <w:pStyle w:val="IEEEAlgorithm"/>
        <w:keepNext/>
        <w:tabs>
          <w:tab w:pos="346" w:val="left"/>
        </w:tabs>
        <w:ind w:left="346" w:hanging="346"/>
      </w:pPr>
      <w:r>
        <w:t xml:space="preserve"/>
        <w:tab/>
      </w:r>
      <w:r>
        <w:t xml:space="preserve"/>
      </w:r>
      <w:r>
        <w:t xml:space="preserve"/>
      </w:r>
      <w:r>
        <w:rPr>
          <w:b/>
          <w:bCs/>
        </w:rPr>
        <w:t xml:space="preserve">Output:</w:t>
      </w:r>
      <w:r>
        <w:t xml:space="preserve"> </w:t>
      </w:r>
      <w:r>
        <w:rPr>
          <w:smallCaps/>
        </w:rPr>
        <w:t xml:space="preserve">pass</w:t>
      </w:r>
      <w:r>
        <w:t xml:space="preserve"> </w:t>
      </w:r>
      <w:r>
        <w:t xml:space="preserve">with an identity, or</w:t>
      </w:r>
      <w:r>
        <w:t xml:space="preserve"> </w:t>
      </w:r>
      <w:r>
        <w:rPr>
          <w:smallCaps/>
        </w:rPr>
        <w:t xml:space="preserve">fail</w:t>
      </w:r>
      <w:r>
        <w:t xml:space="preserve"> </w:t>
      </w:r>
      <w:r>
        <w:t xml:space="preserve">with a reason</w:t>
      </w:r>
    </w:p>
    <w:p>
      <w:pPr>
        <w:pStyle w:val="IEEEAlgorithm"/>
        <w:keepNext/>
        <w:tabs>
          <w:tab w:pos="346" w:val="left"/>
        </w:tabs>
        <w:ind w:left="346" w:hanging="346"/>
      </w:pPr>
      <w:r>
        <w:t xml:space="preserve">1:</w:t>
        <w:tab/>
      </w:r>
      <w:r>
        <w:t xml:space="preserve">record</w:t>
      </w:r>
      <w:r>
        <w:t xml:space="preserve"> </w:t>
      </w:r>
      <m:oMath>
        <m:sSub>
          <m:e>
            <m:acc>
              <m:accPr>
                <m:chr m:val="̂"/>
              </m:accPr>
              <m:e>
                <m:r>
                  <m:t>θ</m:t>
                </m:r>
              </m:e>
            </m:acc>
          </m:e>
          <m:sub>
            <m:r>
              <m:t>0</m:t>
            </m:r>
          </m:sub>
        </m:sSub>
      </m:oMath>
      <w:r>
        <w:t xml:space="preserve">,</w:t>
      </w:r>
      <w:r>
        <w:t xml:space="preserve"> </w:t>
      </w:r>
      <m:oMath>
        <m:sSub>
          <m:e>
            <m:r>
              <m:t>b</m:t>
            </m:r>
          </m:e>
          <m:sub>
            <m:r>
              <m:t>0</m:t>
            </m:r>
          </m:sub>
        </m:sSub>
      </m:oMath>
      <w:r>
        <w:t xml:space="preserve">,</w:t>
      </w:r>
      <w:r>
        <w:t xml:space="preserve"> </w:t>
      </w:r>
      <m:oMath>
        <m:sSub>
          <m:e>
            <m:r>
              <m:t>s</m:t>
            </m:r>
          </m:e>
          <m:sub>
            <m:r>
              <m:t>0</m:t>
            </m:r>
          </m:sub>
        </m:sSub>
      </m:oMath>
      <w:r>
        <w:t xml:space="preserve">,</w:t>
      </w:r>
      <w:r>
        <w:t xml:space="preserve"> </w:t>
      </w:r>
      <m:oMath>
        <m:sSub>
          <m:e>
            <m:r>
              <m:rPr>
                <m:sty m:val="b"/>
              </m:rPr>
              <m:t>b</m:t>
            </m:r>
          </m:e>
          <m:sub>
            <m:r>
              <m:t>i</m:t>
            </m:r>
          </m:sub>
        </m:sSub>
      </m:oMath>
      <w:r>
        <w:t xml:space="preserve"> </w:t>
      </w:r>
      <w:r>
        <w:t xml:space="preserve">and a reference embedding over 4 frontal frames</w:t>
      </w:r>
    </w:p>
    <w:p>
      <w:pPr>
        <w:pStyle w:val="IEEEAlgorithm"/>
        <w:keepNext/>
        <w:tabs>
          <w:tab w:pos="346" w:val="left"/>
        </w:tabs>
        <w:ind w:left="346" w:hanging="346"/>
      </w:pPr>
      <w:r>
        <w:t xml:space="preserve">2:</w:t>
        <w:tab/>
      </w:r>
      <w:r>
        <w:t xml:space="preserve">draw 3 distinct actions from {left, right, blink, smile}; strikes</w:t>
      </w:r>
      <w:r>
        <w:t xml:space="preserve"> </w:t>
      </w:r>
      <m:oMath>
        <m:r>
          <m:rPr>
            <m:sty m:val="p"/>
          </m:rPr>
          <m:t>←</m:t>
        </m:r>
        <m:r>
          <m:t>0</m:t>
        </m:r>
      </m:oMath>
    </w:p>
    <w:p>
      <w:pPr>
        <w:pStyle w:val="IEEEAlgorithm"/>
        <w:keepNext/>
        <w:tabs>
          <w:tab w:pos="346" w:val="left"/>
        </w:tabs>
        <w:ind w:left="346" w:hanging="346"/>
      </w:pPr>
      <w:r>
        <w:t xml:space="preserve">3:</w:t>
        <w:tab/>
      </w:r>
      <w:r>
        <w:t xml:space="preserve"/>
      </w:r>
      <w:r>
        <w:t xml:space="preserve"/>
      </w:r>
      <w:r>
        <w:rPr>
          <w:b/>
          <w:bCs/>
        </w:rPr>
        <w:t xml:space="preserve">for</w:t>
      </w:r>
      <w:r>
        <w:t xml:space="preserve"> </w:t>
      </w:r>
      <w:r>
        <w:t xml:space="preserve">each action</w:t>
      </w:r>
      <w:r>
        <w:t xml:space="preserve"> </w:t>
      </w:r>
      <m:oMath>
        <m:r>
          <m:t>a</m:t>
        </m:r>
      </m:oMath>
      <w:r>
        <w:t xml:space="preserve"> </w:t>
      </w:r>
      <w:r>
        <w:rPr>
          <w:b/>
          <w:bCs/>
        </w:rPr>
        <w:t xml:space="preserve">do</w:t>
      </w:r>
    </w:p>
    <w:p>
      <w:pPr>
        <w:pStyle w:val="IEEEAlgorithm"/>
        <w:keepNext/>
        <w:tabs>
          <w:tab w:pos="590" w:val="left"/>
        </w:tabs>
        <w:ind w:left="590" w:hanging="590"/>
      </w:pPr>
      <w:r>
        <w:t xml:space="preserve">4:</w:t>
        <w:tab/>
      </w:r>
      <w:r>
        <w:t xml:space="preserve">show the prompt;</w:t>
      </w:r>
      <w:r>
        <w:t xml:space="preserve"> </w:t>
      </w:r>
      <m:oMath>
        <m:sSub>
          <m:e>
            <m:r>
              <m:t>t</m:t>
            </m:r>
          </m:e>
          <m:sub>
            <m:r>
              <m:t>p</m:t>
            </m:r>
          </m:sub>
        </m:sSub>
        <m:r>
          <m:rPr>
            <m:sty m:val="p"/>
          </m:rPr>
          <m:t>←</m:t>
        </m:r>
      </m:oMath>
      <w:r>
        <w:t xml:space="preserve"> </w:t>
      </w:r>
      <w:r>
        <w:t xml:space="preserve">now</w:t>
      </w:r>
    </w:p>
    <w:p>
      <w:pPr>
        <w:pStyle w:val="IEEEAlgorithm"/>
        <w:keepNext/>
        <w:tabs>
          <w:tab w:pos="590" w:val="left"/>
        </w:tabs>
        <w:ind w:left="590" w:hanging="590"/>
      </w:pPr>
      <w:r>
        <w:t xml:space="preserve">5:</w:t>
        <w:tab/>
      </w:r>
      <w:r>
        <w:t xml:space="preserve"/>
      </w:r>
      <w:r>
        <w:t xml:space="preserve"/>
      </w:r>
      <w:r>
        <w:rPr>
          <w:b/>
          <w:bCs/>
        </w:rPr>
        <w:t xml:space="preserve">repeat</w:t>
      </w:r>
    </w:p>
    <w:p>
      <w:pPr>
        <w:pStyle w:val="IEEEAlgorithm"/>
        <w:keepNext/>
        <w:tabs>
          <w:tab w:pos="835" w:val="left"/>
        </w:tabs>
        <w:ind w:left="835" w:hanging="835"/>
      </w:pPr>
      <w:r>
        <w:t xml:space="preserve">6:</w:t>
        <w:tab/>
      </w:r>
      <w:r>
        <w:t xml:space="preserve"/>
      </w:r>
      <w:r>
        <w:t xml:space="preserve"/>
      </w:r>
      <w:r>
        <w:rPr>
          <w:b/>
          <w:bCs/>
        </w:rPr>
        <w:t xml:space="preserve">if</w:t>
      </w:r>
      <w:r>
        <w:t xml:space="preserve"> </w:t>
      </w:r>
      <w:r>
        <w:t xml:space="preserve">2nd face, face lost</w:t>
      </w:r>
      <w:r>
        <w:t xml:space="preserve"> </w:t>
      </w:r>
      <m:oMath>
        <m:r>
          <m:rPr>
            <m:sty m:val="p"/>
          </m:rPr>
          <m:t>&gt;</m:t>
        </m:r>
        <m:r>
          <m:t>1</m:t>
        </m:r>
      </m:oMath>
      <w:r>
        <w:t xml:space="preserve"> s, or identity</w:t>
      </w:r>
      <w:r>
        <w:t xml:space="preserve"> </w:t>
      </w:r>
      <m:oMath>
        <m:r>
          <m:rPr>
            <m:sty m:val="p"/>
          </m:rPr>
          <m:t>&lt;</m:t>
        </m:r>
        <m:r>
          <m:t>0.40</m:t>
        </m:r>
      </m:oMath>
      <w:r>
        <w:t xml:space="preserve"> </w:t>
      </w:r>
      <w:r>
        <w:t xml:space="preserve">within</w:t>
      </w:r>
      <w:r>
        <w:t xml:space="preserve"> </w:t>
      </w:r>
      <m:oMath>
        <m:sSup>
          <m:e>
            <m:r>
              <m:t>20</m:t>
            </m:r>
          </m:e>
          <m:sup>
            <m:r>
              <m:rPr>
                <m:sty m:val="p"/>
              </m:rPr>
              <m:t>∘</m:t>
            </m:r>
          </m:sup>
        </m:sSup>
      </m:oMath>
      <w:r>
        <w:t xml:space="preserve"> </w:t>
      </w:r>
      <w:r>
        <w:rPr>
          <w:b/>
          <w:bCs/>
        </w:rPr>
        <w:t xml:space="preserve">then</w:t>
      </w:r>
      <w:r>
        <w:t xml:space="preserve"> </w:t>
      </w:r>
      <w:r>
        <w:rPr>
          <w:b/>
          <w:bCs/>
        </w:rPr>
        <w:t xml:space="preserve">return</w:t>
      </w:r>
      <w:r>
        <w:t xml:space="preserve"> </w:t>
      </w:r>
      <w:r>
        <w:rPr>
          <w:smallCaps/>
        </w:rPr>
        <w:t xml:space="preserve">fail</w:t>
      </w:r>
    </w:p>
    <w:p>
      <w:pPr>
        <w:pStyle w:val="IEEEAlgorithm"/>
        <w:keepNext/>
        <w:tabs>
          <w:tab w:pos="835" w:val="left"/>
        </w:tabs>
        <w:ind w:left="835" w:hanging="835"/>
      </w:pPr>
      <w:r>
        <w:t xml:space="preserve">7:</w:t>
        <w:tab/>
      </w:r>
      <w:r>
        <w:t xml:space="preserve"/>
      </w:r>
      <w:r>
        <w:t xml:space="preserve"/>
      </w:r>
      <w:r>
        <w:rPr>
          <w:b/>
          <w:bCs/>
        </w:rPr>
        <w:t xml:space="preserve">if</w:t>
      </w:r>
      <w:r>
        <w:t xml:space="preserve"> </w:t>
      </w:r>
      <w:r>
        <w:t xml:space="preserve">off-prompt action starts from neutral</w:t>
      </w:r>
      <w:r>
        <w:t xml:space="preserve"> </w:t>
      </w:r>
      <w:r>
        <w:rPr>
          <w:b/>
          <w:bCs/>
        </w:rPr>
        <w:t xml:space="preserve">then</w:t>
      </w:r>
      <w:r>
        <w:t xml:space="preserve"> </w:t>
      </w:r>
      <w:r>
        <w:t xml:space="preserve">strikes</w:t>
      </w:r>
      <w:r>
        <w:t xml:space="preserve"> </w:t>
      </w:r>
      <m:oMath>
        <m:r>
          <m:rPr>
            <m:sty m:val="p"/>
          </m:rPr>
          <m:t>←</m:t>
        </m:r>
      </m:oMath>
      <w:r>
        <w:t xml:space="preserve"> </w:t>
      </w:r>
      <w:r>
        <w:t xml:space="preserve">strikes</w:t>
      </w:r>
      <w:r>
        <w:t xml:space="preserve"> </w:t>
      </w:r>
      <m:oMath>
        <m:r>
          <m:rPr>
            <m:sty m:val="p"/>
          </m:rPr>
          <m:t>+</m:t>
        </m:r>
        <m:r>
          <m:t>1</m:t>
        </m:r>
      </m:oMath>
    </w:p>
    <w:p>
      <w:pPr>
        <w:pStyle w:val="IEEEAlgorithm"/>
        <w:keepNext/>
        <w:tabs>
          <w:tab w:pos="835" w:val="left"/>
        </w:tabs>
        <w:ind w:left="835" w:hanging="835"/>
      </w:pPr>
      <w:r>
        <w:t xml:space="preserve">8:</w:t>
        <w:tab/>
      </w:r>
      <w:r>
        <w:t xml:space="preserve"/>
      </w:r>
      <w:r>
        <w:t xml:space="preserve"/>
      </w:r>
      <w:r>
        <w:rPr>
          <w:b/>
          <w:bCs/>
        </w:rPr>
        <w:t xml:space="preserve">if</w:t>
      </w:r>
      <w:r>
        <w:t xml:space="preserve"> </w:t>
      </w:r>
      <w:r>
        <w:t xml:space="preserve">strikes</w:t>
      </w:r>
      <w:r>
        <w:t xml:space="preserve"> </w:t>
      </w:r>
      <m:oMath>
        <m:r>
          <m:rPr>
            <m:sty m:val="p"/>
          </m:rPr>
          <m:t>&gt;</m:t>
        </m:r>
        <m:r>
          <m:t>1</m:t>
        </m:r>
      </m:oMath>
      <w:r>
        <w:t xml:space="preserve"> </w:t>
      </w:r>
      <w:r>
        <w:rPr>
          <w:b/>
          <w:bCs/>
        </w:rPr>
        <w:t xml:space="preserve">then</w:t>
      </w:r>
      <w:r>
        <w:t xml:space="preserve"> </w:t>
      </w:r>
      <w:r>
        <w:rPr>
          <w:b/>
          <w:bCs/>
        </w:rPr>
        <w:t xml:space="preserve">return</w:t>
      </w:r>
      <w:r>
        <w:t xml:space="preserve"> </w:t>
      </w:r>
      <w:r>
        <w:rPr>
          <w:smallCaps/>
        </w:rPr>
        <w:t xml:space="preserve">fail</w:t>
      </w:r>
    </w:p>
    <w:p>
      <w:pPr>
        <w:pStyle w:val="IEEEAlgorithm"/>
        <w:keepNext/>
        <w:tabs>
          <w:tab w:pos="835" w:val="left"/>
        </w:tabs>
        <w:ind w:left="835" w:hanging="835"/>
      </w:pPr>
      <w:r>
        <w:t xml:space="preserve">9:</w:t>
        <w:tab/>
      </w:r>
      <w:r>
        <w:t xml:space="preserve">count</w:t>
      </w:r>
      <w:r>
        <w:t xml:space="preserve"> </w:t>
      </w:r>
      <m:oMath>
        <m:r>
          <m:t>a</m:t>
        </m:r>
      </m:oMath>
      <w:r>
        <w:t xml:space="preserve"> </w:t>
      </w:r>
      <w:r>
        <w:t xml:space="preserve">only if its onset (</w:t>
      </w:r>
      <m:oMath>
        <m:r>
          <m:t>κ</m:t>
        </m:r>
        <m:r>
          <m:rPr>
            <m:sty m:val="p"/>
          </m:rPr>
          <m:t>&gt;</m:t>
        </m:r>
        <m:r>
          <m:t>0.3</m:t>
        </m:r>
      </m:oMath>
      <w:r>
        <w:t xml:space="preserve">) is in</w:t>
      </w:r>
      <w:r>
        <w:t xml:space="preserve"> </w:t>
      </w:r>
      <m:oMath>
        <m:r>
          <m:rPr>
            <m:sty m:val="p"/>
          </m:rPr>
          <m:t>[</m:t>
        </m:r>
        <m:sSub>
          <m:e>
            <m:r>
              <m:t>t</m:t>
            </m:r>
          </m:e>
          <m:sub>
            <m:r>
              <m:t>p</m:t>
            </m:r>
          </m:sub>
        </m:sSub>
        <m:r>
          <m:rPr>
            <m:sty m:val="p"/>
          </m:rPr>
          <m:t>+</m:t>
        </m:r>
        <m:r>
          <m:t>0.15</m:t>
        </m:r>
        <m:r>
          <m:rPr>
            <m:sty m:val="p"/>
          </m:rPr>
          <m:t>,</m:t>
        </m:r>
        <m:r>
          <m:t> </m:t>
        </m:r>
        <m:r>
          <m:t> </m:t>
        </m:r>
        <m:sSub>
          <m:e>
            <m:r>
              <m:t>t</m:t>
            </m:r>
          </m:e>
          <m:sub>
            <m:r>
              <m:t>p</m:t>
            </m:r>
          </m:sub>
        </m:sSub>
        <m:r>
          <m:rPr>
            <m:sty m:val="p"/>
          </m:rPr>
          <m:t>+</m:t>
        </m:r>
        <m:r>
          <m:t>3.5</m:t>
        </m:r>
        <m:r>
          <m:rPr>
            <m:sty m:val="p"/>
          </m:rPr>
          <m:t>]</m:t>
        </m:r>
      </m:oMath>
      <w:r>
        <w:t xml:space="preserve"> s</w:t>
      </w:r>
    </w:p>
    <w:p>
      <w:pPr>
        <w:pStyle w:val="IEEEAlgorithm"/>
        <w:keepNext/>
        <w:tabs>
          <w:tab w:pos="835" w:val="left"/>
        </w:tabs>
        <w:ind w:left="835" w:hanging="835"/>
      </w:pPr>
      <w:r>
        <w:t xml:space="preserve">10:</w:t>
        <w:tab/>
      </w:r>
      <w:r>
        <w:t xml:space="preserve"/>
      </w:r>
      <w:r>
        <w:t xml:space="preserve"/>
      </w:r>
      <w:r>
        <w:rPr>
          <w:b/>
          <w:bCs/>
        </w:rPr>
        <w:t xml:space="preserve">if</w:t>
      </w:r>
      <w:r>
        <w:t xml:space="preserve"> </w:t>
      </w:r>
      <w:r>
        <w:t xml:space="preserve">no valid onset by</w:t>
      </w:r>
      <w:r>
        <w:t xml:space="preserve"> </w:t>
      </w:r>
      <m:oMath>
        <m:sSub>
          <m:e>
            <m:r>
              <m:t>t</m:t>
            </m:r>
          </m:e>
          <m:sub>
            <m:r>
              <m:t>p</m:t>
            </m:r>
          </m:sub>
        </m:sSub>
        <m:r>
          <m:rPr>
            <m:sty m:val="p"/>
          </m:rPr>
          <m:t>+</m:t>
        </m:r>
        <m:r>
          <m:t>3.5</m:t>
        </m:r>
      </m:oMath>
      <w:r>
        <w:t xml:space="preserve"> s, or</w:t>
      </w:r>
      <w:r>
        <w:t xml:space="preserve"> </w:t>
      </w:r>
      <m:oMath>
        <m:r>
          <m:t>a</m:t>
        </m:r>
      </m:oMath>
      <w:r>
        <w:t xml:space="preserve"> </w:t>
      </w:r>
      <w:r>
        <w:t xml:space="preserve">lasts</w:t>
      </w:r>
      <w:r>
        <w:t xml:space="preserve"> </w:t>
      </w:r>
      <m:oMath>
        <m:r>
          <m:rPr>
            <m:sty m:val="p"/>
          </m:rPr>
          <m:t>&gt;</m:t>
        </m:r>
        <m:r>
          <m:t>7</m:t>
        </m:r>
      </m:oMath>
      <w:r>
        <w:t xml:space="preserve"> s</w:t>
      </w:r>
      <w:r>
        <w:t xml:space="preserve"> </w:t>
      </w:r>
      <w:r>
        <w:rPr>
          <w:b/>
          <w:bCs/>
        </w:rPr>
        <w:t xml:space="preserve">then</w:t>
      </w:r>
      <w:r>
        <w:t xml:space="preserve"> </w:t>
      </w:r>
      <w:r>
        <w:rPr>
          <w:b/>
          <w:bCs/>
        </w:rPr>
        <w:t xml:space="preserve">return</w:t>
      </w:r>
      <w:r>
        <w:t xml:space="preserve"> </w:t>
      </w:r>
      <w:r>
        <w:rPr>
          <w:smallCaps/>
        </w:rPr>
        <w:t xml:space="preserve">fail</w:t>
      </w:r>
    </w:p>
    <w:p>
      <w:pPr>
        <w:pStyle w:val="IEEEAlgorithm"/>
        <w:keepNext/>
        <w:tabs>
          <w:tab w:pos="590" w:val="left"/>
        </w:tabs>
        <w:ind w:left="590" w:hanging="590"/>
      </w:pPr>
      <w:r>
        <w:t xml:space="preserve">11:</w:t>
        <w:tab/>
      </w:r>
      <w:r>
        <w:t xml:space="preserve"/>
      </w:r>
      <w:r>
        <w:t xml:space="preserve"/>
      </w:r>
      <w:r>
        <w:rPr>
          <w:b/>
          <w:bCs/>
        </w:rPr>
        <w:t xml:space="preserve">until</w:t>
      </w:r>
      <w:r>
        <w:t xml:space="preserve"> </w:t>
      </w:r>
      <m:oMath>
        <m:r>
          <m:t>a</m:t>
        </m:r>
      </m:oMath>
      <w:r>
        <w:t xml:space="preserve"> </w:t>
      </w:r>
      <w:r>
        <w:t xml:space="preserve">is accepted</w:t>
      </w:r>
    </w:p>
    <w:p>
      <w:pPr>
        <w:pStyle w:val="IEEEAlgorithm"/>
        <w:keepNext/>
        <w:tabs>
          <w:tab w:pos="590" w:val="left"/>
        </w:tabs>
        <w:ind w:left="590" w:hanging="590"/>
      </w:pPr>
      <w:r>
        <w:t xml:space="preserve">12:</w:t>
        <w:tab/>
      </w:r>
      <w:r>
        <w:t xml:space="preserve">wait until the face is centered again</w:t>
      </w:r>
    </w:p>
    <w:p>
      <w:pPr>
        <w:pStyle w:val="IEEEAlgorithm"/>
        <w:keepNext/>
        <w:tabs>
          <w:tab w:pos="346" w:val="left"/>
        </w:tabs>
        <w:ind w:left="346" w:hanging="346"/>
      </w:pPr>
      <w:r>
        <w:t xml:space="preserve">13:</w:t>
        <w:tab/>
      </w:r>
      <w:r>
        <w:t xml:space="preserve"/>
      </w:r>
      <w:r>
        <w:t xml:space="preserve"/>
      </w:r>
      <w:r>
        <w:rPr>
          <w:b/>
          <w:bCs/>
        </w:rPr>
        <w:t xml:space="preserve">end for</w:t>
      </w:r>
    </w:p>
    <w:p>
      <w:pPr>
        <w:pStyle w:val="IEEEAlgorithm"/>
        <w:keepNext w:val="0"/>
        <w:pBdr>
          <w:bottom w:val="single" w:sz="6" w:space="1" w:color="000000"/>
        </w:pBdr>
        <w:tabs>
          <w:tab w:pos="346" w:val="left"/>
        </w:tabs>
        <w:spacing w:after="160"/>
        <w:ind w:left="346" w:hanging="346"/>
      </w:pPr>
      <w:r>
        <w:t xml:space="preserve">14:</w:t>
        <w:tab/>
      </w:r>
      <w:r>
        <w:t xml:space="preserve"/>
      </w:r>
      <w:r>
        <w:t xml:space="preserve"/>
      </w:r>
      <w:r>
        <w:rPr>
          <w:b/>
          <w:bCs/>
        </w:rPr>
        <w:t xml:space="preserve">return</w:t>
      </w:r>
      <w:r>
        <w:t xml:space="preserve"> </w:t>
      </w:r>
      <w:r>
        <w:t xml:space="preserve">the matcher’s decision on the mean frontal embedding</w:t>
      </w:r>
    </w:p>
    <w:p>
      <w:pPr>
        <w:pStyle w:val="BodyText"/>
      </w:pPr>
      <w:r>
        <w:rPr>
          <w:i/>
          <w:iCs/>
        </w:rPr>
        <w:t xml:space="preserve">Order enforcement.</w:t>
      </w:r>
      <w:r>
        <w:t xml:space="preserve"> </w:t>
      </w:r>
      <w:r>
        <w:t xml:space="preserve">Performing an action that belongs to another prompt, such as turning the wrong way, turning while a blink or smile is requested, or smiling during a turn or blink prompt, earns a strike. As the reflected view may lead one to confuse left and right, the first strike is excused, but the second strike ends the session. A blink does not count as a strike at all, and an additional strike is counted only after the face has returned to a neutral position.</w:t>
      </w:r>
    </w:p>
    <w:p>
      <w:pPr>
        <w:pStyle w:val="BodyText"/>
      </w:pPr>
      <w:r>
        <w:rPr>
          <w:i/>
          <w:iCs/>
        </w:rPr>
        <w:t xml:space="preserve">Response timing.</w:t>
      </w:r>
      <w:r>
        <w:t xml:space="preserve"> </w:t>
      </w:r>
      <w:r>
        <w:t xml:space="preserve">Each action has to begin as a reaction to its prompt. Let the progress</w:t>
      </w:r>
      <w:r>
        <w:t xml:space="preserve"> </w:t>
      </w:r>
      <m:oMath>
        <m:r>
          <m:t>κ</m:t>
        </m:r>
        <m:r>
          <m:rPr>
            <m:sty m:val="p"/>
          </m:rPr>
          <m:t>(</m:t>
        </m:r>
        <m:r>
          <m:t>t</m:t>
        </m:r>
        <m:r>
          <m:rPr>
            <m:sty m:val="p"/>
          </m:rPr>
          <m:t>)</m:t>
        </m:r>
        <m:r>
          <m:rPr>
            <m:sty m:val="p"/>
          </m:rPr>
          <m:t>∈</m:t>
        </m:r>
        <m:r>
          <m:rPr>
            <m:sty m:val="p"/>
          </m:rPr>
          <m:t>[</m:t>
        </m:r>
        <m:r>
          <m:t>0</m:t>
        </m:r>
        <m:r>
          <m:rPr>
            <m:sty m:val="p"/>
          </m:rPr>
          <m:t>,</m:t>
        </m:r>
        <m:r>
          <m:t> </m:t>
        </m:r>
        <m:r>
          <m:t>1</m:t>
        </m:r>
        <m:r>
          <m:rPr>
            <m:sty m:val="p"/>
          </m:rPr>
          <m:t>]</m:t>
        </m:r>
      </m:oMath>
      <w:r>
        <w:t xml:space="preserve"> </w:t>
      </w:r>
      <w:r>
        <w:t xml:space="preserve">be the fraction of the acceptance threshold that has been reached; for a turn it is the smaller of the yaw-ratio and parallax fractions. A movement counts only if</w:t>
      </w:r>
      <w:r>
        <w:t xml:space="preserve"> </w:t>
      </w:r>
      <m:oMath>
        <m:r>
          <m:t>κ</m:t>
        </m:r>
      </m:oMath>
      <w:r>
        <w:t xml:space="preserve"> </w:t>
      </w:r>
      <w:r>
        <w:t xml:space="preserve">first exceeds 0.3 between</w:t>
      </w:r>
      <w:r>
        <w:t xml:space="preserve"> </w:t>
      </w:r>
      <m:oMath>
        <m:sSub>
          <m:e>
            <m:r>
              <m:t>t</m:t>
            </m:r>
          </m:e>
          <m:sub>
            <m:r>
              <m:rPr>
                <m:sty m:val="p"/>
              </m:rPr>
              <m:t>min</m:t>
            </m:r>
          </m:sub>
        </m:sSub>
        <m:r>
          <m:rPr>
            <m:sty m:val="p"/>
          </m:rPr>
          <m:t>=</m:t>
        </m:r>
        <m:r>
          <m:t>0.15</m:t>
        </m:r>
      </m:oMath>
      <w:r>
        <w:t xml:space="preserve"> s and</w:t>
      </w:r>
      <w:r>
        <w:t xml:space="preserve"> </w:t>
      </w:r>
      <m:oMath>
        <m:sSub>
          <m:e>
            <m:r>
              <m:t>t</m:t>
            </m:r>
          </m:e>
          <m:sub>
            <m:r>
              <m:rPr>
                <m:sty m:val="p"/>
              </m:rPr>
              <m:t>max</m:t>
            </m:r>
          </m:sub>
        </m:sSub>
        <m:r>
          <m:rPr>
            <m:sty m:val="p"/>
          </m:rPr>
          <m:t>=</m:t>
        </m:r>
        <m:r>
          <m:t>3.5</m:t>
        </m:r>
      </m:oMath>
      <w:r>
        <w:t xml:space="preserve"> s after the prompt, and the session fails if no such onset occurs by</w:t>
      </w:r>
      <w:r>
        <w:t xml:space="preserve"> </w:t>
      </w:r>
      <m:oMath>
        <m:sSub>
          <m:e>
            <m:r>
              <m:t>t</m:t>
            </m:r>
          </m:e>
          <m:sub>
            <m:r>
              <m:rPr>
                <m:sty m:val="p"/>
              </m:rPr>
              <m:t>max</m:t>
            </m:r>
          </m:sub>
        </m:sSub>
      </m:oMath>
      <w:r>
        <w:t xml:space="preserve">. Since reaction times to visual stimuli measured with a high-speed camera are of the order of 0.3 s [30], the window starts below the fastest plausible reaction and leaves ample time for slow users. A looping video, in contrast, cannot anticipate a prompt, so movements already under way when the prompt appears, or starting too late, are ignored.</w:t>
      </w:r>
    </w:p>
    <w:p>
      <w:pPr>
        <w:pStyle w:val="BodyText"/>
      </w:pPr>
      <w:r>
        <w:rPr>
          <w:i/>
          <w:iCs/>
        </w:rPr>
        <w:t xml:space="preserve">Identity continuity.</w:t>
      </w:r>
      <w:r>
        <w:t xml:space="preserve"> </w:t>
      </w:r>
      <w:r>
        <w:t xml:space="preserve">Every new embedding taken within</w:t>
      </w:r>
      <w:r>
        <w:t xml:space="preserve"> </w:t>
      </w:r>
      <m:oMath>
        <m:sSup>
          <m:e>
            <m:r>
              <m:t>20</m:t>
            </m:r>
          </m:e>
          <m:sup>
            <m:r>
              <m:rPr>
                <m:sty m:val="p"/>
              </m:rPr>
              <m:t>∘</m:t>
            </m:r>
          </m:sup>
        </m:sSup>
      </m:oMath>
      <w:r>
        <w:t xml:space="preserve"> </w:t>
      </w:r>
      <w:r>
        <w:t xml:space="preserve">of the baseline pose must keep a cosine similarity of at least 0.40 with the reference, well below typical genuine scores but above most impostor scores (Section V-A). Embeddings of strongly turned faces legitimately differ from a frontal one, so during a turn the tracker carries the identity, and a lost track forces a new check. A session also fails after 45 s in total.</w:t>
      </w:r>
    </w:p>
    <w:bookmarkEnd w:id="19"/>
    <w:bookmarkStart w:id="20" w:name="presence-guard"/>
    <w:p>
      <w:pPr>
        <w:pStyle w:val="Heading2"/>
      </w:pPr>
      <w:r>
        <w:t xml:space="preserve">Presence Guard</w:t>
      </w:r>
    </w:p>
    <w:p>
      <w:pPr>
        <w:pStyle w:val="FirstParagraph"/>
      </w:pPr>
      <w:r>
        <w:t xml:space="preserve">The guard (state diagram in Fig. S1, pseudocode in Algorithm S1) analyzes four frames per second in the background. A face counts as</w:t>
      </w:r>
      <w:r>
        <w:t xml:space="preserve"> </w:t>
      </w:r>
      <w:r>
        <w:rPr>
          <w:i/>
          <w:iCs/>
        </w:rPr>
        <w:t xml:space="preserve">authorized</w:t>
      </w:r>
      <w:r>
        <w:t xml:space="preserve"> </w:t>
      </w:r>
      <w:r>
        <w:t xml:space="preserve">when it matches the owner or a trusted person, and as a</w:t>
      </w:r>
      <w:r>
        <w:t xml:space="preserve"> </w:t>
      </w:r>
      <w:r>
        <w:rPr>
          <w:i/>
          <w:iCs/>
        </w:rPr>
        <w:t xml:space="preserve">stranger</w:t>
      </w:r>
      <w:r>
        <w:t xml:space="preserve"> </w:t>
      </w:r>
      <w:r>
        <w:t xml:space="preserve">when, after at least two embeddings, it is unknown or matches an enrolled person who is not trusted, so that a single bad frame cannot raise an alarm. With</w:t>
      </w:r>
      <w:r>
        <w:t xml:space="preserve"> </w:t>
      </w:r>
      <m:oMath>
        <m:sSub>
          <m:e>
            <m:r>
              <m:t>t</m:t>
            </m:r>
          </m:e>
          <m:sub>
            <m:r>
              <m:t>a</m:t>
            </m:r>
          </m:sub>
        </m:sSub>
      </m:oMath>
      <w:r>
        <w:t xml:space="preserve"> </w:t>
      </w:r>
      <w:r>
        <w:t xml:space="preserve">the last time an authorized face was seen and</w:t>
      </w:r>
      <w:r>
        <w:t xml:space="preserve"> </w:t>
      </w:r>
      <m:oMath>
        <m:r>
          <m:t>I</m:t>
        </m:r>
        <m:r>
          <m:rPr>
            <m:sty m:val="p"/>
          </m:rPr>
          <m:t>(</m:t>
        </m:r>
        <m:r>
          <m:t>t</m:t>
        </m:r>
        <m:r>
          <m:rPr>
            <m:sty m:val="p"/>
          </m:rPr>
          <m:t>)</m:t>
        </m:r>
      </m:oMath>
      <w:r>
        <w:t xml:space="preserve"> </w:t>
      </w:r>
      <w:r>
        <w:t xml:space="preserve">the keyboard and mouse idle time, the guard applies the following rules:</w:t>
      </w:r>
    </w:p>
    <w:p>
      <w:pPr>
        <w:numPr>
          <w:ilvl w:val="0"/>
          <w:numId w:val="1002"/>
        </w:numPr>
      </w:pPr>
      <w:r>
        <w:rPr>
          <w:i/>
          <w:iCs/>
        </w:rPr>
        <w:t xml:space="preserve">Walk-away lock</w:t>
      </w:r>
      <w:r>
        <w:t xml:space="preserve"> </w:t>
      </w:r>
      <w:r>
        <w:t xml:space="preserve">once</w:t>
      </w:r>
      <w:r>
        <w:t xml:space="preserve"> </w:t>
      </w:r>
      <m:oMath>
        <m:r>
          <m:rPr>
            <m:sty m:val="p"/>
          </m:rPr>
          <m:t>min</m:t>
        </m:r>
        <m:r>
          <m:rPr>
            <m:sty m:val="p"/>
          </m:rPr>
          <m:t>(</m:t>
        </m:r>
        <m:r>
          <m:t>t</m:t>
        </m:r>
        <m:r>
          <m:rPr>
            <m:sty m:val="p"/>
          </m:rPr>
          <m:t>−</m:t>
        </m:r>
        <m:sSub>
          <m:e>
            <m:r>
              <m:t>t</m:t>
            </m:r>
          </m:e>
          <m:sub>
            <m:r>
              <m:t>a</m:t>
            </m:r>
          </m:sub>
        </m:sSub>
        <m:r>
          <m:rPr>
            <m:sty m:val="p"/>
          </m:rPr>
          <m:t>,</m:t>
        </m:r>
        <m:r>
          <m:t> </m:t>
        </m:r>
        <m:r>
          <m:t> </m:t>
        </m:r>
        <m:r>
          <m:t>I</m:t>
        </m:r>
        <m:r>
          <m:rPr>
            <m:sty m:val="p"/>
          </m:rPr>
          <m:t>(</m:t>
        </m:r>
        <m:r>
          <m:t>t</m:t>
        </m:r>
        <m:r>
          <m:rPr>
            <m:sty m:val="p"/>
          </m:rPr>
          <m:t>)</m:t>
        </m:r>
        <m:r>
          <m:rPr>
            <m:sty m:val="p"/>
          </m:rPr>
          <m:t>)</m:t>
        </m:r>
        <m:r>
          <m:rPr>
            <m:sty m:val="p"/>
          </m:rPr>
          <m:t>≥</m:t>
        </m:r>
        <m:sSub>
          <m:e>
            <m:r>
              <m:t>T</m:t>
            </m:r>
          </m:e>
          <m:sub>
            <m:r>
              <m:t>a</m:t>
            </m:r>
          </m:sub>
        </m:sSub>
      </m:oMath>
      <w:r>
        <w:t xml:space="preserve"> </w:t>
      </w:r>
      <w:r>
        <w:t xml:space="preserve">(</w:t>
      </w:r>
      <m:oMath>
        <m:sSub>
          <m:e>
            <m:r>
              <m:t>T</m:t>
            </m:r>
          </m:e>
          <m:sub>
            <m:r>
              <m:t>a</m:t>
            </m:r>
          </m:sub>
        </m:sSub>
        <m:r>
          <m:rPr>
            <m:sty m:val="p"/>
          </m:rPr>
          <m:t>=</m:t>
        </m:r>
        <m:r>
          <m:t>30</m:t>
        </m:r>
      </m:oMath>
      <w:r>
        <w:t xml:space="preserve"> s by default), announced 8 s beforehand; while the user types, the PC stays unlocked even if the face is out of view.</w:t>
      </w:r>
    </w:p>
    <w:p>
      <w:pPr>
        <w:numPr>
          <w:ilvl w:val="0"/>
          <w:numId w:val="1002"/>
        </w:numPr>
      </w:pPr>
      <w:r>
        <w:rPr>
          <w:i/>
          <w:iCs/>
        </w:rPr>
        <w:t xml:space="preserve">Intruder</w:t>
      </w:r>
      <w:r>
        <w:t xml:space="preserve">: a stranger face that passes the quality gate and is present for</w:t>
      </w:r>
      <w:r>
        <w:t xml:space="preserve"> </w:t>
      </w:r>
      <m:oMath>
        <m:sSub>
          <m:e>
            <m:r>
              <m:t>T</m:t>
            </m:r>
          </m:e>
          <m:sub>
            <m:r>
              <m:t>i</m:t>
            </m:r>
          </m:sub>
        </m:sSub>
        <m:r>
          <m:rPr>
            <m:sty m:val="p"/>
          </m:rPr>
          <m:t>=</m:t>
        </m:r>
        <m:r>
          <m:t>2.5</m:t>
        </m:r>
      </m:oMath>
      <w:r>
        <w:t xml:space="preserve"> s, with no authorized face during the last 3 s, is photographed and reported, and the PC is locked.</w:t>
      </w:r>
    </w:p>
    <w:p>
      <w:pPr>
        <w:numPr>
          <w:ilvl w:val="0"/>
          <w:numId w:val="1002"/>
        </w:numPr>
      </w:pPr>
      <w:r>
        <w:rPr>
          <w:i/>
          <w:iCs/>
        </w:rPr>
        <w:t xml:space="preserve">Shoulder-surfer</w:t>
      </w:r>
      <w:r>
        <w:t xml:space="preserve">: an authorized user together with a stranger at least 40 pixels wide for 3 s produces a notification.</w:t>
      </w:r>
    </w:p>
    <w:p>
      <w:pPr>
        <w:numPr>
          <w:ilvl w:val="0"/>
          <w:numId w:val="1002"/>
        </w:numPr>
      </w:pPr>
      <w:r>
        <w:rPr>
          <w:i/>
          <w:iCs/>
        </w:rPr>
        <w:t xml:space="preserve">Lock-screen watch</w:t>
      </w:r>
      <w:r>
        <w:t xml:space="preserve">: for</w:t>
      </w:r>
      <w:r>
        <w:t xml:space="preserve"> </w:t>
      </w:r>
      <m:oMath>
        <m:r>
          <m:t>W</m:t>
        </m:r>
      </m:oMath>
      <w:r>
        <w:t xml:space="preserve"> </w:t>
      </w:r>
      <w:r>
        <w:t xml:space="preserve">minutes after locking (30 by default), confirmed strangers are photographed; otherwise the camera is released while the PC is locked.</w:t>
      </w:r>
    </w:p>
    <w:p>
      <w:pPr>
        <w:numPr>
          <w:ilvl w:val="0"/>
          <w:numId w:val="1002"/>
        </w:numPr>
      </w:pPr>
      <w:r>
        <w:rPr>
          <w:i/>
          <w:iCs/>
        </w:rPr>
        <w:t xml:space="preserve">Safety valves</w:t>
      </w:r>
      <w:r>
        <w:t xml:space="preserve">: for 15 s after each unlock, intruder detections only suggest re-enrollment; at most three intruder locks are issued within 10 minutes; a camera failure never locks the PC; alerts are limited to one per minute.</w:t>
      </w:r>
    </w:p>
    <w:bookmarkEnd w:id="20"/>
    <w:bookmarkStart w:id="21" w:name="X46c6b44f37a49e4df41a3577ef7c0f727d5958d"/>
    <w:p>
      <w:pPr>
        <w:pStyle w:val="Heading2"/>
      </w:pPr>
      <w:r>
        <w:t xml:space="preserve">Template Adaptation, Storage and Implementation</w:t>
      </w:r>
    </w:p>
    <w:p>
      <w:pPr>
        <w:pStyle w:val="FirstParagraph"/>
      </w:pPr>
      <w:r>
        <w:t xml:space="preserve">Faces change over time. FaceGuard appends a live embedding to a template only when its smoothed score reaches</w:t>
      </w:r>
      <w:r>
        <w:t xml:space="preserve"> </w:t>
      </w:r>
      <m:oMath>
        <m:r>
          <m:t>τ</m:t>
        </m:r>
        <m:r>
          <m:rPr>
            <m:sty m:val="p"/>
          </m:rPr>
          <m:t>+</m:t>
        </m:r>
        <m:r>
          <m:t>0.12</m:t>
        </m:r>
      </m:oMath>
      <w:r>
        <w:t xml:space="preserve">, the face passes the quality gate and is near-frontal, its highest similarity to the stored samples is below 0.92 so that it adds information, and no update happened during the last 10 minutes. Adaptive samples are kept in a first-in-first-out buffer of at most</w:t>
      </w:r>
      <w:r>
        <w:t xml:space="preserve"> </w:t>
      </w:r>
      <m:oMath>
        <m:r>
          <m:rPr>
            <m:sty m:val="p"/>
          </m:rPr>
          <m:t>min</m:t>
        </m:r>
        <m:r>
          <m:rPr>
            <m:sty m:val="p"/>
          </m:rPr>
          <m:t>(</m:t>
        </m:r>
        <m:r>
          <m:t>30</m:t>
        </m:r>
        <m:r>
          <m:rPr>
            <m:sty m:val="p"/>
          </m:rPr>
          <m:t>,</m:t>
        </m:r>
        <m:r>
          <m:t> </m:t>
        </m:r>
        <m:sSub>
          <m:e>
            <m:r>
              <m:t>n</m:t>
            </m:r>
          </m:e>
          <m:sub>
            <m:r>
              <m:t>e</m:t>
            </m:r>
          </m:sub>
        </m:sSub>
        <m:r>
          <m:rPr>
            <m:sty m:val="p"/>
          </m:rPr>
          <m:t>)</m:t>
        </m:r>
      </m:oMath>
      <w:r>
        <w:t xml:space="preserve"> </w:t>
      </w:r>
      <w:r>
        <w:t xml:space="preserve">entries,</w:t>
      </w:r>
      <w:r>
        <w:t xml:space="preserve"> </w:t>
      </w:r>
      <m:oMath>
        <m:sSub>
          <m:e>
            <m:r>
              <m:t>n</m:t>
            </m:r>
          </m:e>
          <m:sub>
            <m:r>
              <m:t>e</m:t>
            </m:r>
          </m:sub>
        </m:sSub>
      </m:oMath>
      <w:r>
        <w:t xml:space="preserve"> </w:t>
      </w:r>
      <w:r>
        <w:t xml:space="preserve">being the number of enrolled samples, so they never outnumber the enrollment. Templates, names and interface thumbnails are serialized, compressed and encrypted with the Windows Data Protection API, whose user-scope key is derived from the user’s logon credentials, so the file can be decrypted only by the same user on the same machine [31]; video is never stored.</w:t>
      </w:r>
    </w:p>
    <w:p>
      <w:pPr>
        <w:pStyle w:val="BodyText"/>
      </w:pPr>
      <w:r>
        <w:t xml:space="preserve">The software is written in Python with OpenCV, MediaPipe and PySide6 (versions in Section S5); the MediaPipe Face Landmarker supplies 478 points and 52 blendshape scores. Windows functions are reached through ctypes, so no administrator rights are needed, and every model is checked against a pinned SHA-256 hash. Besides the guard and face unlock, the application (Fig. S2) offers a live view, guided enrollment and an intruder gallery, and</w:t>
      </w:r>
      <w:r>
        <w:t xml:space="preserve"> </w:t>
      </w:r>
      <w:r>
        <w:rPr>
          <w:rStyle w:val="VerbatimChar"/>
        </w:rPr>
        <w:t xml:space="preserve">faceguard verify</w:t>
      </w:r>
      <w:r>
        <w:t xml:space="preserve"> </w:t>
      </w:r>
      <w:r>
        <w:t xml:space="preserve">exits with code 0 only for a live, recognized face, so it can protect user scripts. The camera is opened at</w:t>
      </w:r>
      <w:r>
        <w:t xml:space="preserve"> </w:t>
      </w:r>
      <m:oMath>
        <m:r>
          <m:t>640</m:t>
        </m:r>
        <m:r>
          <m:rPr>
            <m:sty m:val="p"/>
          </m:rPr>
          <m:t>×</m:t>
        </m:r>
        <m:r>
          <m:t>480</m:t>
        </m:r>
      </m:oMath>
      <w:r>
        <w:t xml:space="preserve"> </w:t>
      </w:r>
      <w:r>
        <w:t xml:space="preserve">by default: the built-in webcam of our laptop delivered 10 frames per second at</w:t>
      </w:r>
      <w:r>
        <w:t xml:space="preserve"> </w:t>
      </w:r>
      <m:oMath>
        <m:r>
          <m:t>1280</m:t>
        </m:r>
        <m:r>
          <m:rPr>
            <m:sty m:val="p"/>
          </m:rPr>
          <m:t>×</m:t>
        </m:r>
        <m:r>
          <m:t>720</m:t>
        </m:r>
      </m:oMath>
      <w:r>
        <w:t xml:space="preserve"> </w:t>
      </w:r>
      <w:r>
        <w:t xml:space="preserve">but 20 at</w:t>
      </w:r>
      <w:r>
        <w:t xml:space="preserve"> </w:t>
      </w:r>
      <m:oMath>
        <m:r>
          <m:t>640</m:t>
        </m:r>
        <m:r>
          <m:rPr>
            <m:sty m:val="p"/>
          </m:rPr>
          <m:t>×</m:t>
        </m:r>
        <m:r>
          <m:t>480</m:t>
        </m:r>
      </m:oMath>
      <w:r>
        <w:t xml:space="preserve">, and blink detection needs the frame rate more than the resolution.</w:t>
      </w:r>
    </w:p>
    <w:bookmarkEnd w:id="21"/>
    <w:bookmarkEnd w:id="22"/>
    <w:bookmarkStart w:id="23" w:name="experimental-setup"/>
    <w:p>
      <w:pPr>
        <w:pStyle w:val="Heading1"/>
      </w:pPr>
      <w:r>
        <w:t xml:space="preserve">Experimental Setup</w:t>
      </w:r>
    </w:p>
    <w:p>
      <w:pPr>
        <w:pStyle w:val="FirstParagraph"/>
      </w:pPr>
      <w:r>
        <w:rPr>
          <w:i/>
          <w:iCs/>
        </w:rPr>
        <w:t xml:space="preserve">Platform.</w:t>
      </w:r>
      <w:r>
        <w:t xml:space="preserve"> </w:t>
      </w:r>
      <w:r>
        <w:t xml:space="preserve">Every experiment ran on a Windows 11 laptop with an eight-core AMD Ryzen 7 7730U processor and 16 GB of memory, using the CPU only, with onnxruntime 1.30 for the baselines.</w:t>
      </w:r>
    </w:p>
    <w:p>
      <w:pPr>
        <w:pStyle w:val="BodyText"/>
      </w:pPr>
      <w:r>
        <w:rPr>
          <w:i/>
          <w:iCs/>
        </w:rPr>
        <w:t xml:space="preserve">Data.</w:t>
      </w:r>
      <w:r>
        <w:t xml:space="preserve"> </w:t>
      </w:r>
      <w:r>
        <w:t xml:space="preserve">The 13,233 photographs of Labeled Faces in the Wild (LFW) [32] show 5,749 individuals; YuNet found a face in every image, and in images with several faces the one nearest to the image center was used. For the geometry and liveness experiments we kept the first 300 of 1,500 sampled LFW images for which the MediaPipe mesh reported</w:t>
      </w:r>
      <w:r>
        <w:t xml:space="preserve"> </w:t>
      </w:r>
      <m:oMath>
        <m:r>
          <m:rPr>
            <m:sty m:val="p"/>
          </m:rPr>
          <m:t>|</m:t>
        </m:r>
        <m:r>
          <m:rPr>
            <m:nor/>
            <m:sty m:val="p"/>
          </m:rPr>
          <m:t>yaw</m:t>
        </m:r>
        <m:r>
          <m:rPr>
            <m:sty m:val="p"/>
          </m:rPr>
          <m:t>|</m:t>
        </m:r>
        <m:r>
          <m:rPr>
            <m:sty m:val="p"/>
          </m:rPr>
          <m:t>≤</m:t>
        </m:r>
        <m:sSup>
          <m:e>
            <m:r>
              <m:t>10</m:t>
            </m:r>
          </m:e>
          <m:sup>
            <m:r>
              <m:rPr>
                <m:sty m:val="p"/>
              </m:rPr>
              <m:t>∘</m:t>
            </m:r>
          </m:sup>
        </m:sSup>
      </m:oMath>
      <w:r>
        <w:t xml:space="preserve"> </w:t>
      </w:r>
      <w:r>
        <w:t xml:space="preserve">and</w:t>
      </w:r>
      <w:r>
        <w:t xml:space="preserve"> </w:t>
      </w:r>
      <m:oMath>
        <m:r>
          <m:rPr>
            <m:sty m:val="p"/>
          </m:rPr>
          <m:t>|</m:t>
        </m:r>
        <m:r>
          <m:rPr>
            <m:nor/>
            <m:sty m:val="p"/>
          </m:rPr>
          <m:t>pitch</m:t>
        </m:r>
        <m:r>
          <m:rPr>
            <m:sty m:val="p"/>
          </m:rPr>
          <m:t>|</m:t>
        </m:r>
        <m:r>
          <m:rPr>
            <m:sty m:val="p"/>
          </m:rPr>
          <m:t>≤</m:t>
        </m:r>
        <m:sSup>
          <m:e>
            <m:r>
              <m:t>15</m:t>
            </m:r>
          </m:e>
          <m:sup>
            <m:r>
              <m:rPr>
                <m:sty m:val="p"/>
              </m:rPr>
              <m:t>∘</m:t>
            </m:r>
          </m:sup>
        </m:sSup>
      </m:oMath>
      <w:r>
        <w:t xml:space="preserve">, and split their meshes at random into a calibration set of 150 faces, used only to fit</w:t>
      </w:r>
      <w:r>
        <w:t xml:space="preserve"> </w:t>
      </w:r>
      <m:oMath>
        <m:r>
          <m:t>K</m:t>
        </m:r>
      </m:oMath>
      <w:r>
        <w:t xml:space="preserve"> </w:t>
      </w:r>
      <w:r>
        <w:t xml:space="preserve">and</w:t>
      </w:r>
      <w:r>
        <w:t xml:space="preserve"> </w:t>
      </w:r>
      <m:oMath>
        <m:sSub>
          <m:e>
            <m:r>
              <m:t>K</m:t>
            </m:r>
          </m:e>
          <m:sub>
            <m:r>
              <m:t>p</m:t>
            </m:r>
          </m:sub>
        </m:sSub>
      </m:oMath>
      <w:r>
        <w:t xml:space="preserve">, and a disjoint evaluation set of 150 faces, used for every geometry and liveness result. To evaluate recognition under the target condition, we use MPIIFaceGaze [33], which contains frames recorded by the built-in webcams of 15 participants’ own laptops during everyday use over 7–67 days; we sampled 300 frames per participant evenly over their recording days (4,500 frames, median face width 286 pixels).</w:t>
      </w:r>
    </w:p>
    <w:p>
      <w:pPr>
        <w:pStyle w:val="BodyText"/>
      </w:pPr>
      <w:r>
        <w:rPr>
          <w:i/>
          <w:iCs/>
        </w:rPr>
        <w:t xml:space="preserve">Protocols.</w:t>
      </w:r>
      <w:r>
        <w:t xml:space="preserve"> </w:t>
      </w:r>
      <w:r>
        <w:t xml:space="preserve">Verification uses the ten View-2 splits of LFW, each holding 300 same-person and 300 different-person pairs; the threshold is fitted on nine splits and tested on the tenth. The ArcFace baselines (InsightFace models</w:t>
      </w:r>
      <w:r>
        <w:t xml:space="preserve"> </w:t>
      </w:r>
      <w:r>
        <w:rPr>
          <w:rStyle w:val="VerbatimChar"/>
        </w:rPr>
        <w:t xml:space="preserve">w600k_mbf</w:t>
      </w:r>
      <w:r>
        <w:t xml:space="preserve"> </w:t>
      </w:r>
      <w:r>
        <w:t xml:space="preserve">and</w:t>
      </w:r>
      <w:r>
        <w:t xml:space="preserve"> </w:t>
      </w:r>
      <w:r>
        <w:rPr>
          <w:rStyle w:val="VerbatimChar"/>
        </w:rPr>
        <w:t xml:space="preserve">w600k_r50</w:t>
      </w:r>
      <w:r>
        <w:t xml:space="preserve">, trained on a WebFace-derived set [11]) receive the same detections and landmarks as SFace, aligned to their own canonical template, and the same flip TTA. Operating points are measured on all 52,904 same-person pairs (at most 50 images per person) and on 1,000,000 randomly drawn different-person pairs; the identification and robustness protocols are given in Section S2. On MPIIFaceGaze, verification uses all same-person pairs recorded on different days and all different-person pairs, and the enrollment protocol of FaceGuard enrolls each participant with 22 frames from their first recording days, probes with frames from the second half of their days and measures false accepts against the galleries of the other 14 participants. Every randomized step uses a fixed seed (Section S5).</w:t>
      </w:r>
    </w:p>
    <w:p>
      <w:pPr>
        <w:pStyle w:val="BodyText"/>
      </w:pPr>
      <w:r>
        <w:rPr>
          <w:i/>
          <w:iCs/>
        </w:rPr>
        <w:t xml:space="preserve">Real-world pilot.</w:t>
      </w:r>
      <w:r>
        <w:t xml:space="preserve"> </w:t>
      </w:r>
      <w:r>
        <w:t xml:space="preserve">The production code was also run on the laptop’s built-in webcam (</w:t>
      </w:r>
      <m:oMath>
        <m:r>
          <m:t>640</m:t>
        </m:r>
        <m:r>
          <m:rPr>
            <m:sty m:val="p"/>
          </m:rPr>
          <m:t>×</m:t>
        </m:r>
        <m:r>
          <m:t>480</m:t>
        </m:r>
      </m:oMath>
      <w:r>
        <w:t xml:space="preserve">, about 21 frames per second) by a guided test program that stores decisions, scores, timings and, for the owner, the five landmark positions, but no images. The owner (one of the authors, enrolled with 22 images) performed face-unlock sessions with the full and the turn-only protocol and presented their own frontal photograph on a phone screen, tilting and turning it as requested, against the full protocol and against the turn-only protocol with and without the parallax gate; after every attack the owner confirmed that only the phone had been visible. A volunteer who was not enrolled attempted face unlock and took part in the guard scenarios, in which the guard used the production thresholds but only logged its decisions.</w:t>
      </w:r>
    </w:p>
    <w:p>
      <w:pPr>
        <w:pStyle w:val="BodyText"/>
      </w:pPr>
      <w:r>
        <w:rPr>
          <w:i/>
          <w:iCs/>
        </w:rPr>
        <w:t xml:space="preserve">Metrics.</w:t>
      </w:r>
      <w:r>
        <w:t xml:space="preserve"> </w:t>
      </w:r>
      <w:r>
        <w:t xml:space="preserve">Verification is summarized by accuracy, the area under the receiver operating characteristic (ROC) curve (AUC), the equal error rate (EER) and the true-accept rate (TAR) at a fixed false-accept rate (FAR); the false-reject rate (FRR) is</w:t>
      </w:r>
      <w:r>
        <w:t xml:space="preserve"> </w:t>
      </w:r>
      <m:oMath>
        <m:r>
          <m:t>1</m:t>
        </m:r>
        <m:r>
          <m:rPr>
            <m:sty m:val="p"/>
          </m:rPr>
          <m:t>−</m:t>
        </m:r>
        <m:r>
          <m:rPr>
            <m:nor/>
            <m:sty m:val="p"/>
          </m:rPr>
          <m:t>TAR</m:t>
        </m:r>
      </m:oMath>
      <w:r>
        <w:t xml:space="preserve">. For liveness we use the terms of ISO/IEC 30107-3: APCER is the fraction of attacks accepted and BPCER the fraction of live users rejected. We report 95% Wilson intervals, two-sided Fisher exact tests for differences between proportions, paired</w:t>
      </w:r>
      <w:r>
        <w:t xml:space="preserve"> </w:t>
      </w:r>
      <m:oMath>
        <m:r>
          <m:t>t</m:t>
        </m:r>
      </m:oMath>
      <w:r>
        <w:t xml:space="preserve">-tests over the ten LFW folds for accuracy differences and, when no event occurs in</w:t>
      </w:r>
      <w:r>
        <w:t xml:space="preserve"> </w:t>
      </w:r>
      <m:oMath>
        <m:r>
          <m:t>n</m:t>
        </m:r>
      </m:oMath>
      <w:r>
        <w:t xml:space="preserve"> </w:t>
      </w:r>
      <w:r>
        <w:t xml:space="preserve">trials, the 95% upper bound</w:t>
      </w:r>
      <w:r>
        <w:t xml:space="preserve"> </w:t>
      </w:r>
      <m:oMath>
        <m:r>
          <m:t>3</m:t>
        </m:r>
        <m:r>
          <m:rPr>
            <m:sty m:val="p"/>
          </m:rPr>
          <m:t>/</m:t>
        </m:r>
        <m:r>
          <m:t>n</m:t>
        </m:r>
      </m:oMath>
      <w:r>
        <w:t xml:space="preserve">.</w:t>
      </w:r>
    </w:p>
    <w:p>
      <w:pPr>
        <w:pStyle w:val="BodyText"/>
      </w:pPr>
      <w:r>
        <w:rPr>
          <w:i/>
          <w:iCs/>
        </w:rPr>
        <w:t xml:space="preserve">Ethics.</w:t>
      </w:r>
      <w:r>
        <w:t xml:space="preserve"> </w:t>
      </w:r>
      <w:r>
        <w:t xml:space="preserve">Apart from the public LFW and MPIIFaceGaze images and a public-domain portrait, the only human data are those of the real-world pilot, a minimal-risk feasibility test with two adult participants, one of them an author. Both gave informed consent to take part and to the publication of the anonymous results; no image or video was stored, only decisions, similarity scores, timings and, for the author, the positions of five facial landmarks. Because of its minimal risk, the pilot was not submitted to an institutional ethics committee. In deployment, photographs of strangers stay on the user’s computer with a retention limit, and users should inform people who share their workspace.</w:t>
      </w:r>
    </w:p>
    <w:bookmarkEnd w:id="23"/>
    <w:bookmarkStart w:id="37" w:name="results-and-discussion"/>
    <w:p>
      <w:pPr>
        <w:pStyle w:val="Heading1"/>
      </w:pPr>
      <w:r>
        <w:t xml:space="preserve">Results and Discussion</w:t>
      </w:r>
    </w:p>
    <w:bookmarkStart w:id="27" w:name="X4822d899f2acf59dc07ecc1613f588b81533019"/>
    <w:p>
      <w:pPr>
        <w:pStyle w:val="Heading2"/>
      </w:pPr>
      <w:r>
        <w:t xml:space="preserve">Verification, Baselines and Operating Points</w:t>
      </w:r>
    </w:p>
    <w:p>
      <w:pPr>
        <w:pStyle w:val="FirstParagraph"/>
      </w:pPr>
      <w:r xmlns:wps="http://schemas.microsoft.com/office/word/2010/wordprocessingShape">
        <w:drawing>
          <wp:anchor distT="0" distB="101600" distL="0" distR="0" simplePos="0" relativeHeight="251659365" behindDoc="0" locked="0" layoutInCell="1" allowOverlap="0">
            <wp:simplePos x="0" y="0"/>
            <wp:positionH relativeFrom="margin">
              <wp:align>center</wp:align>
            </wp:positionH>
            <wp:positionV relativeFrom="margin">
              <wp:align>top</wp:align>
            </wp:positionV>
            <wp:extent cx="6546850" cy="1422400"/>
            <wp:effectExtent l="0" t="0" r="0" b="0"/>
            <wp:wrapTopAndBottom/>
            <wp:docPr id="5101" name="Table 1"/>
            <wp:cNvGraphicFramePr/>
            <a:graphic>
              <a:graphicData uri="http://schemas.microsoft.com/office/word/2010/wordprocessingShape">
                <wps:wsp>
                  <wps:cNvSpPr txBox="1"/>
                  <wps:spPr>
                    <a:xfrm>
                      <a:off x="0" y="0"/>
                      <a:ext cx="6546850" cy="1422400"/>
                    </a:xfrm>
                    <a:prstGeom prst="rect">
                      <a:avLst/>
                    </a:prstGeom>
                    <a:noFill/>
                    <a:ln>
                      <a:noFill/>
                    </a:ln>
                  </wps:spPr>
                  <wps:txbx>
                    <w:txbxContent>
                      <w:p>
                        <w:pPr>
                          <w:pStyle w:val="IEEETableCaption"/>
                        </w:pPr>
                        <w:r>
                          <w:t xml:space="preserve">TABLE I</w:t>
                          <w:br/>
                        </w:r>
                        <w:r>
                          <w:rPr>
                            <w:smallCaps/>
                          </w:rPr>
                          <w:t xml:space="preserve">Verification on LFW View 2 (10-Fold) Under One Protocol: Same Detections, Landmarks and Flip TTA for Every Model</w:t>
                        </w:r>
                      </w:p>
                      <w:tbl>
                        <w:tblPr>
                          <w:tblW w:w="0" w:type="auto"/>
                          <w:jc w:val="center"/>
                          <w:tblBorders>
                            <w:top w:val="single" w:sz="8" w:space="0" w:color="000000"/>
                            <w:left w:val="nil"/>
                            <w:bottom w:val="single" w:sz="8" w:space="0" w:color="000000"/>
                            <w:right w:val="nil"/>
                            <w:insideH w:val="nil"/>
                            <w:insideV w:val="nil"/>
                          </w:tblBorders>
                          <w:tblLayout w:type="autofit"/>
                          <w:tblCellMar>
                            <w:top w:w="0" w:type="dxa"/>
                            <w:left w:w="60" w:type="dxa"/>
                            <w:bottom w:w="0" w:type="dxa"/>
                            <w:right w:w="60" w:type="dxa"/>
                          </w:tblCellMar>
                        </w:tblPr>
                        <w:tblGrid>
                          <w:gridCol w:w="990"/>
                          <w:gridCol w:w="990"/>
                          <w:gridCol w:w="990"/>
                          <w:gridCol w:w="990"/>
                          <w:gridCol w:w="990"/>
                          <w:gridCol w:w="990"/>
                          <w:gridCol w:w="990"/>
                          <w:gridCol w:w="990"/>
                        </w:tblGrid>
                        <w:tr>
                          <w:trPr>
                            <w:cantSplit/>
                            <w:tblHeader w:val="on"/>
                          </w:trPr>
                          <w:tc>
                            <w:tcPr>
                              <w:tcBorders>
                                <w:bottom w:val="single" w:sz="4" w:space="0" w:color="000000"/>
                              </w:tcBorders>
                            </w:tcPr>
                            <w:p>
                              <w:pPr>
                                <w:pStyle w:val="IEEETableText"/>
                                <w:keepNext/>
                                <w:jc w:val="left"/>
                              </w:pPr>
                              <w:r>
                                <w:rPr/>
                                <w:t xml:space="preserve">Model</w:t>
                              </w:r>
                            </w:p>
                          </w:tc>
                          <w:tc>
                            <w:tcPr>
                              <w:tcBorders>
                                <w:bottom w:val="single" w:sz="4" w:space="0" w:color="000000"/>
                              </w:tcBorders>
                            </w:tcPr>
                            <w:p>
                              <w:pPr>
                                <w:pStyle w:val="IEEETableText"/>
                                <w:keepNext/>
                                <w:jc w:val="center"/>
                              </w:pPr>
                              <w:r>
                                <w:rPr/>
                                <w:t xml:space="preserve">Size (MB)</w:t>
                              </w:r>
                            </w:p>
                          </w:tc>
                          <w:tc>
                            <w:tcPr>
                              <w:tcBorders>
                                <w:bottom w:val="single" w:sz="4" w:space="0" w:color="000000"/>
                              </w:tcBorders>
                            </w:tcPr>
                            <w:p>
                              <w:pPr>
                                <w:pStyle w:val="IEEETableText"/>
                                <w:keepNext/>
                                <w:jc w:val="center"/>
                              </w:pPr>
                              <w:r>
                                <w:rPr/>
                                <w:t xml:space="preserve">Time (ms)</w:t>
                              </w:r>
                              <w:r>
                                <w:rPr>
                                  <w:vertAlign w:val="superscript"/>
                                </w:rPr>
                                <w:t xml:space="preserve">a</w:t>
                              </w:r>
                            </w:p>
                          </w:tc>
                          <w:tc>
                            <w:tcPr>
                              <w:tcBorders>
                                <w:bottom w:val="single" w:sz="4" w:space="0" w:color="000000"/>
                              </w:tcBorders>
                            </w:tcPr>
                            <w:p>
                              <w:pPr>
                                <w:pStyle w:val="IEEETableText"/>
                                <w:keepNext/>
                                <w:jc w:val="center"/>
                              </w:pPr>
                              <w:r>
                                <w:rPr/>
                                <w:t xml:space="preserve">Accuracy (%)</w:t>
                              </w:r>
                            </w:p>
                          </w:tc>
                          <w:tc>
                            <w:tcPr>
                              <w:tcBorders>
                                <w:bottom w:val="single" w:sz="4" w:space="0" w:color="000000"/>
                              </w:tcBorders>
                            </w:tcPr>
                            <w:p>
                              <w:pPr>
                                <w:pStyle w:val="IEEETableText"/>
                                <w:keepNext/>
                                <w:jc w:val="center"/>
                              </w:pPr>
                              <w:r>
                                <w:rPr/>
                                <w:t xml:space="preserve">AUC</w:t>
                              </w:r>
                            </w:p>
                          </w:tc>
                          <w:tc>
                            <w:tcPr>
                              <w:tcBorders>
                                <w:bottom w:val="single" w:sz="4" w:space="0" w:color="000000"/>
                              </w:tcBorders>
                            </w:tcPr>
                            <w:p>
                              <w:pPr>
                                <w:pStyle w:val="IEEETableText"/>
                                <w:keepNext/>
                                <w:jc w:val="center"/>
                              </w:pPr>
                              <w:r>
                                <w:rPr/>
                                <w:t xml:space="preserve">EER (%)</w:t>
                              </w:r>
                            </w:p>
                          </w:tc>
                          <w:tc>
                            <w:tcPr>
                              <w:tcBorders>
                                <w:bottom w:val="single" w:sz="4" w:space="0" w:color="000000"/>
                              </w:tcBorders>
                            </w:tcPr>
                            <w:p>
                              <w:pPr>
                                <w:pStyle w:val="IEEETableText"/>
                                <w:keepNext/>
                                <w:jc w:val="center"/>
                              </w:pPr>
                              <w:r>
                                <w:rPr/>
                                <w:t xml:space="preserve">TAR (%) @ FAR</w:t>
                              </w:r>
                              <w:r>
                                <w:rPr/>
                                <w:t xml:space="preserve"> </w:t>
                              </w:r>
                              <m:oMath>
                                <m:sSup>
                                  <m:e>
                                    <m:r>
                                      <m:t>10</m:t>
                                    </m:r>
                                  </m:e>
                                  <m:sup>
                                    <m:r>
                                      <m:rPr>
                                        <m:sty m:val="p"/>
                                      </m:rPr>
                                      <m:t>−</m:t>
                                    </m:r>
                                    <m:r>
                                      <m:t>2</m:t>
                                    </m:r>
                                  </m:sup>
                                </m:sSup>
                              </m:oMath>
                            </w:p>
                          </w:tc>
                          <w:tc>
                            <w:tcPr>
                              <w:tcBorders>
                                <w:bottom w:val="single" w:sz="4" w:space="0" w:color="000000"/>
                              </w:tcBorders>
                            </w:tcPr>
                            <w:p>
                              <w:pPr>
                                <w:pStyle w:val="IEEETableText"/>
                                <w:keepNext/>
                                <w:jc w:val="center"/>
                              </w:pPr>
                              <w:r>
                                <w:rPr/>
                                <w:t xml:space="preserve">TAR (%) @ FAR</w:t>
                              </w:r>
                              <w:r>
                                <w:rPr/>
                                <w:t xml:space="preserve"> </w:t>
                              </w:r>
                              <m:oMath>
                                <m:sSup>
                                  <m:e>
                                    <m:r>
                                      <m:t>10</m:t>
                                    </m:r>
                                  </m:e>
                                  <m:sup>
                                    <m:r>
                                      <m:rPr>
                                        <m:sty m:val="p"/>
                                      </m:rPr>
                                      <m:t>−</m:t>
                                    </m:r>
                                    <m:r>
                                      <m:t>3</m:t>
                                    </m:r>
                                  </m:sup>
                                </m:sSup>
                              </m:oMath>
                            </w:p>
                          </w:tc>
                        </w:tr>
                        <w:tr>
                          <w:trPr>
                            <w:cantSplit/>
                          </w:trPr>
                          <w:tc>
                            <w:tcPr/>
                            <w:p>
                              <w:pPr>
                                <w:pStyle w:val="IEEETableText"/>
                                <w:keepNext/>
                                <w:jc w:val="left"/>
                              </w:pPr>
                              <w:r>
                                <w:rPr/>
                                <w:t xml:space="preserve">SFace (FaceGuard)</w:t>
                              </w:r>
                            </w:p>
                          </w:tc>
                          <w:tc>
                            <w:tcPr/>
                            <w:p>
                              <w:pPr>
                                <w:pStyle w:val="IEEETableText"/>
                                <w:keepNext/>
                                <w:jc w:val="center"/>
                              </w:pPr>
                              <w:r>
                                <w:rPr/>
                                <w:t xml:space="preserve">38.7</w:t>
                              </w:r>
                            </w:p>
                          </w:tc>
                          <w:tc>
                            <w:tcPr/>
                            <w:p>
                              <w:pPr>
                                <w:pStyle w:val="IEEETableText"/>
                                <w:keepNext/>
                                <w:jc w:val="center"/>
                              </w:pPr>
                              <w:r>
                                <w:rPr/>
                                <w:t xml:space="preserve">18.4</w:t>
                              </w:r>
                            </w:p>
                          </w:tc>
                          <w:tc>
                            <w:tcPr/>
                            <w:p>
                              <w:pPr>
                                <w:pStyle w:val="IEEETableText"/>
                                <w:keepNext/>
                                <w:jc w:val="center"/>
                              </w:pPr>
                              <w:r>
                                <w:rPr/>
                                <w:t xml:space="preserve">99.43</w:t>
                              </w:r>
                              <m:oMath>
                                <m:r>
                                  <m:rPr>
                                    <m:sty m:val="p"/>
                                  </m:rPr>
                                  <m:t>±</m:t>
                                </m:r>
                              </m:oMath>
                              <w:r>
                                <w:rPr/>
                                <w:t xml:space="preserve">0.33</w:t>
                              </w:r>
                            </w:p>
                          </w:tc>
                          <w:tc>
                            <w:tcPr/>
                            <w:p>
                              <w:pPr>
                                <w:pStyle w:val="IEEETableText"/>
                                <w:keepNext/>
                                <w:jc w:val="center"/>
                              </w:pPr>
                              <w:r>
                                <w:rPr/>
                                <w:t xml:space="preserve">0.9988</w:t>
                              </w:r>
                            </w:p>
                          </w:tc>
                          <w:tc>
                            <w:tcPr/>
                            <w:p>
                              <w:pPr>
                                <w:pStyle w:val="IEEETableText"/>
                                <w:keepNext/>
                                <w:jc w:val="center"/>
                              </w:pPr>
                              <w:r>
                                <w:rPr/>
                                <w:t xml:space="preserve">0.73</w:t>
                              </w:r>
                            </w:p>
                          </w:tc>
                          <w:tc>
                            <w:tcPr/>
                            <w:p>
                              <w:pPr>
                                <w:pStyle w:val="IEEETableText"/>
                                <w:keepNext/>
                                <w:jc w:val="center"/>
                              </w:pPr>
                              <w:r>
                                <w:rPr/>
                                <w:t xml:space="preserve">99.40</w:t>
                              </w:r>
                            </w:p>
                          </w:tc>
                          <w:tc>
                            <w:tcPr/>
                            <w:p>
                              <w:pPr>
                                <w:pStyle w:val="IEEETableText"/>
                                <w:keepNext/>
                                <w:jc w:val="center"/>
                              </w:pPr>
                              <w:r>
                                <w:rPr/>
                                <w:t xml:space="preserve">98.93</w:t>
                              </w:r>
                            </w:p>
                          </w:tc>
                        </w:tr>
                        <w:tr>
                          <w:trPr>
                            <w:cantSplit/>
                          </w:trPr>
                          <w:tc>
                            <w:tcPr/>
                            <w:p>
                              <w:pPr>
                                <w:pStyle w:val="IEEETableText"/>
                                <w:keepNext/>
                                <w:jc w:val="left"/>
                              </w:pPr>
                              <w:r>
                                <w:rPr/>
                                <w:t xml:space="preserve">ArcFace MobileFaceNet</w:t>
                              </w:r>
                            </w:p>
                          </w:tc>
                          <w:tc>
                            <w:tcPr/>
                            <w:p>
                              <w:pPr>
                                <w:pStyle w:val="IEEETableText"/>
                                <w:keepNext/>
                                <w:jc w:val="center"/>
                              </w:pPr>
                              <w:r>
                                <w:rPr/>
                                <w:t xml:space="preserve">13.0</w:t>
                              </w:r>
                            </w:p>
                          </w:tc>
                          <w:tc>
                            <w:tcPr/>
                            <w:p>
                              <w:pPr>
                                <w:pStyle w:val="IEEETableText"/>
                                <w:keepNext/>
                                <w:jc w:val="center"/>
                              </w:pPr>
                              <w:r>
                                <w:rPr/>
                                <w:t xml:space="preserve">11.4</w:t>
                              </w:r>
                            </w:p>
                          </w:tc>
                          <w:tc>
                            <w:tcPr/>
                            <w:p>
                              <w:pPr>
                                <w:pStyle w:val="IEEETableText"/>
                                <w:keepNext/>
                                <w:jc w:val="center"/>
                              </w:pPr>
                              <w:r>
                                <w:rPr/>
                                <w:t xml:space="preserve">99.63</w:t>
                              </w:r>
                              <m:oMath>
                                <m:r>
                                  <m:rPr>
                                    <m:sty m:val="p"/>
                                  </m:rPr>
                                  <m:t>±</m:t>
                                </m:r>
                              </m:oMath>
                              <w:r>
                                <w:rPr/>
                                <w:t xml:space="preserve">0.26</w:t>
                              </w:r>
                            </w:p>
                          </w:tc>
                          <w:tc>
                            <w:tcPr/>
                            <w:p>
                              <w:pPr>
                                <w:pStyle w:val="IEEETableText"/>
                                <w:keepNext/>
                                <w:jc w:val="center"/>
                              </w:pPr>
                              <w:r>
                                <w:rPr/>
                                <w:t xml:space="preserve">0.9994</w:t>
                              </w:r>
                            </w:p>
                          </w:tc>
                          <w:tc>
                            <w:tcPr/>
                            <w:p>
                              <w:pPr>
                                <w:pStyle w:val="IEEETableText"/>
                                <w:keepNext/>
                                <w:jc w:val="center"/>
                              </w:pPr>
                              <w:r>
                                <w:rPr/>
                                <w:t xml:space="preserve">0.40</w:t>
                              </w:r>
                            </w:p>
                          </w:tc>
                          <w:tc>
                            <w:tcPr/>
                            <w:p>
                              <w:pPr>
                                <w:pStyle w:val="IEEETableText"/>
                                <w:keepNext/>
                                <w:jc w:val="center"/>
                              </w:pPr>
                              <w:r>
                                <w:rPr/>
                                <w:t xml:space="preserve">99.67</w:t>
                              </w:r>
                            </w:p>
                          </w:tc>
                          <w:tc>
                            <w:tcPr/>
                            <w:p>
                              <w:pPr>
                                <w:pStyle w:val="IEEETableText"/>
                                <w:keepNext/>
                                <w:jc w:val="center"/>
                              </w:pPr>
                              <w:r>
                                <w:rPr/>
                                <w:t xml:space="preserve">99.37</w:t>
                              </w:r>
                            </w:p>
                          </w:tc>
                        </w:tr>
                        <w:tr>
                          <w:trPr>
                            <w:cantSplit/>
                          </w:trPr>
                          <w:tc>
                            <w:tcPr/>
                            <w:p>
                              <w:pPr>
                                <w:pStyle w:val="IEEETableText"/>
                                <w:keepNext/>
                                <w:jc w:val="left"/>
                              </w:pPr>
                              <w:r>
                                <w:rPr/>
                                <w:t xml:space="preserve">ArcFace ResNet-50</w:t>
                              </w:r>
                            </w:p>
                          </w:tc>
                          <w:tc>
                            <w:tcPr/>
                            <w:p>
                              <w:pPr>
                                <w:pStyle w:val="IEEETableText"/>
                                <w:keepNext/>
                                <w:jc w:val="center"/>
                              </w:pPr>
                              <w:r>
                                <w:rPr/>
                                <w:t xml:space="preserve">166.3</w:t>
                              </w:r>
                            </w:p>
                          </w:tc>
                          <w:tc>
                            <w:tcPr/>
                            <w:p>
                              <w:pPr>
                                <w:pStyle w:val="IEEETableText"/>
                                <w:keepNext/>
                                <w:jc w:val="center"/>
                              </w:pPr>
                              <w:r>
                                <w:rPr/>
                                <w:t xml:space="preserve">96.1</w:t>
                              </w:r>
                            </w:p>
                          </w:tc>
                          <w:tc>
                            <w:tcPr/>
                            <w:p>
                              <w:pPr>
                                <w:pStyle w:val="IEEETableText"/>
                                <w:keepNext/>
                                <w:jc w:val="center"/>
                              </w:pPr>
                              <w:r>
                                <w:rPr/>
                                <w:t xml:space="preserve">99.85</w:t>
                              </w:r>
                              <m:oMath>
                                <m:r>
                                  <m:rPr>
                                    <m:sty m:val="p"/>
                                  </m:rPr>
                                  <m:t>±</m:t>
                                </m:r>
                              </m:oMath>
                              <w:r>
                                <w:rPr/>
                                <w:t xml:space="preserve">0.17</w:t>
                              </w:r>
                            </w:p>
                          </w:tc>
                          <w:tc>
                            <w:tcPr/>
                            <w:p>
                              <w:pPr>
                                <w:pStyle w:val="IEEETableText"/>
                                <w:keepNext/>
                                <w:jc w:val="center"/>
                              </w:pPr>
                              <w:r>
                                <w:rPr/>
                                <w:t xml:space="preserve">0.9993</w:t>
                              </w:r>
                            </w:p>
                          </w:tc>
                          <w:tc>
                            <w:tcPr/>
                            <w:p>
                              <w:pPr>
                                <w:pStyle w:val="IEEETableText"/>
                                <w:keepNext/>
                                <w:jc w:val="center"/>
                              </w:pPr>
                              <w:r>
                                <w:rPr/>
                                <w:t xml:space="preserve">0.23</w:t>
                              </w:r>
                            </w:p>
                          </w:tc>
                          <w:tc>
                            <w:tcPr/>
                            <w:p>
                              <w:pPr>
                                <w:pStyle w:val="IEEETableText"/>
                                <w:keepNext/>
                                <w:jc w:val="center"/>
                              </w:pPr>
                              <w:r>
                                <w:rPr/>
                                <w:t xml:space="preserve">99.80</w:t>
                              </w:r>
                            </w:p>
                          </w:tc>
                          <w:tc>
                            <w:tcPr/>
                            <w:p>
                              <w:pPr>
                                <w:pStyle w:val="IEEETableText"/>
                                <w:keepNext/>
                                <w:jc w:val="center"/>
                              </w:pPr>
                              <w:r>
                                <w:rPr/>
                                <w:t xml:space="preserve">99.73</w:t>
                              </w:r>
                            </w:p>
                          </w:tc>
                        </w:tr>
                        <w:tr>
                          <w:trPr>
                            <w:cantSplit/>
                          </w:trPr>
                          <w:tc>
                            <w:tcPr>
                              <w:tcBorders>
                                <w:top w:val="single" w:sz="4" w:space="0" w:color="000000"/>
                              </w:tcBorders>
                            </w:tcPr>
                            <w:p>
                              <w:pPr>
                                <w:pStyle w:val="IEEETableText"/>
                                <w:keepNext/>
                                <w:jc w:val="left"/>
                              </w:pPr>
                              <w:r>
                                <w:rPr/>
                                <w:t xml:space="preserve">SFace without flip TTA</w:t>
                              </w:r>
                            </w:p>
                          </w:tc>
                          <w:tc>
                            <w:tcPr>
                              <w:tcBorders>
                                <w:top w:val="single" w:sz="4" w:space="0" w:color="000000"/>
                              </w:tcBorders>
                            </w:tcPr>
                            <w:p>
                              <w:pPr>
                                <w:pStyle w:val="IEEETableText"/>
                                <w:keepNext/>
                                <w:jc w:val="center"/>
                              </w:pPr>
                              <w:r>
                                <w:rPr/>
                                <w:t xml:space="preserve">38.7</w:t>
                              </w:r>
                            </w:p>
                          </w:tc>
                          <w:tc>
                            <w:tcPr>
                              <w:tcBorders>
                                <w:top w:val="single" w:sz="4" w:space="0" w:color="000000"/>
                              </w:tcBorders>
                            </w:tcPr>
                            <w:p>
                              <w:pPr>
                                <w:pStyle w:val="IEEETableText"/>
                                <w:keepNext/>
                                <w:jc w:val="center"/>
                              </w:pPr>
                              <w:r>
                                <w:rPr/>
                                <w:t xml:space="preserve">–</w:t>
                              </w:r>
                            </w:p>
                          </w:tc>
                          <w:tc>
                            <w:tcPr>
                              <w:tcBorders>
                                <w:top w:val="single" w:sz="4" w:space="0" w:color="000000"/>
                              </w:tcBorders>
                            </w:tcPr>
                            <w:p>
                              <w:pPr>
                                <w:pStyle w:val="IEEETableText"/>
                                <w:keepNext/>
                                <w:jc w:val="center"/>
                              </w:pPr>
                              <w:r>
                                <w:rPr/>
                                <w:t xml:space="preserve">99.35</w:t>
                              </w:r>
                              <m:oMath>
                                <m:r>
                                  <m:rPr>
                                    <m:sty m:val="p"/>
                                  </m:rPr>
                                  <m:t>±</m:t>
                                </m:r>
                              </m:oMath>
                              <w:r>
                                <w:rPr/>
                                <w:t xml:space="preserve">0.37</w:t>
                              </w:r>
                            </w:p>
                          </w:tc>
                          <w:tc>
                            <w:tcPr>
                              <w:tcBorders>
                                <w:top w:val="single" w:sz="4" w:space="0" w:color="000000"/>
                              </w:tcBorders>
                            </w:tcPr>
                            <w:p>
                              <w:pPr>
                                <w:pStyle w:val="IEEETableText"/>
                                <w:keepNext/>
                                <w:jc w:val="center"/>
                              </w:pPr>
                              <w:r>
                                <w:rPr/>
                                <w:t xml:space="preserve">0.9988</w:t>
                              </w:r>
                            </w:p>
                          </w:tc>
                          <w:tc>
                            <w:tcPr>
                              <w:tcBorders>
                                <w:top w:val="single" w:sz="4" w:space="0" w:color="000000"/>
                              </w:tcBorders>
                            </w:tcPr>
                            <w:p>
                              <w:pPr>
                                <w:pStyle w:val="IEEETableText"/>
                                <w:keepNext/>
                                <w:jc w:val="center"/>
                              </w:pPr>
                              <w:r>
                                <w:rPr/>
                                <w:t xml:space="preserve">0.80</w:t>
                              </w:r>
                            </w:p>
                          </w:tc>
                          <w:tc>
                            <w:tcPr>
                              <w:tcBorders>
                                <w:top w:val="single" w:sz="4" w:space="0" w:color="000000"/>
                              </w:tcBorders>
                            </w:tcPr>
                            <w:p>
                              <w:pPr>
                                <w:pStyle w:val="IEEETableText"/>
                                <w:keepNext/>
                                <w:jc w:val="center"/>
                              </w:pPr>
                              <w:r>
                                <w:rPr/>
                                <w:t xml:space="preserve">99.27</w:t>
                              </w:r>
                            </w:p>
                          </w:tc>
                          <w:tc>
                            <w:tcPr>
                              <w:tcBorders>
                                <w:top w:val="single" w:sz="4" w:space="0" w:color="000000"/>
                              </w:tcBorders>
                            </w:tcPr>
                            <w:p>
                              <w:pPr>
                                <w:pStyle w:val="IEEETableText"/>
                                <w:keepNext/>
                                <w:jc w:val="center"/>
                              </w:pPr>
                              <w:r>
                                <w:rPr/>
                                <w:t xml:space="preserve">98.80</w:t>
                              </w:r>
                            </w:p>
                          </w:tc>
                        </w:tr>
                        <w:tr>
                          <w:trPr>
                            <w:cantSplit/>
                          </w:trPr>
                          <w:tc>
                            <w:tcPr/>
                            <w:p>
                              <w:pPr>
                                <w:pStyle w:val="IEEETableText"/>
                                <w:jc w:val="left"/>
                              </w:pPr>
                              <w:r>
                                <w:rPr/>
                                <w:t xml:space="preserve">SFace without alignment</w:t>
                              </w:r>
                            </w:p>
                          </w:tc>
                          <w:tc>
                            <w:tcPr/>
                            <w:p>
                              <w:pPr>
                                <w:pStyle w:val="IEEETableText"/>
                                <w:jc w:val="center"/>
                              </w:pPr>
                              <w:r>
                                <w:rPr/>
                                <w:t xml:space="preserve">38.7</w:t>
                              </w:r>
                            </w:p>
                          </w:tc>
                          <w:tc>
                            <w:tcPr/>
                            <w:p>
                              <w:pPr>
                                <w:pStyle w:val="IEEETableText"/>
                                <w:jc w:val="center"/>
                              </w:pPr>
                              <w:r>
                                <w:rPr/>
                                <w:t xml:space="preserve">–</w:t>
                              </w:r>
                            </w:p>
                          </w:tc>
                          <w:tc>
                            <w:tcPr/>
                            <w:p>
                              <w:pPr>
                                <w:pStyle w:val="IEEETableText"/>
                                <w:jc w:val="center"/>
                              </w:pPr>
                              <w:r>
                                <w:rPr/>
                                <w:t xml:space="preserve">87.88</w:t>
                              </w:r>
                              <m:oMath>
                                <m:r>
                                  <m:rPr>
                                    <m:sty m:val="p"/>
                                  </m:rPr>
                                  <m:t>±</m:t>
                                </m:r>
                              </m:oMath>
                              <w:r>
                                <w:rPr/>
                                <w:t xml:space="preserve">1.13</w:t>
                              </w:r>
                            </w:p>
                          </w:tc>
                          <w:tc>
                            <w:tcPr/>
                            <w:p>
                              <w:pPr>
                                <w:pStyle w:val="IEEETableText"/>
                                <w:jc w:val="center"/>
                              </w:pPr>
                              <w:r>
                                <w:rPr/>
                                <w:t xml:space="preserve">0.9486</w:t>
                              </w:r>
                            </w:p>
                          </w:tc>
                          <w:tc>
                            <w:tcPr/>
                            <w:p>
                              <w:pPr>
                                <w:pStyle w:val="IEEETableText"/>
                                <w:jc w:val="center"/>
                              </w:pPr>
                              <w:r>
                                <w:rPr/>
                                <w:t xml:space="preserve">12.03</w:t>
                              </w:r>
                            </w:p>
                          </w:tc>
                          <w:tc>
                            <w:tcPr/>
                            <w:p>
                              <w:pPr>
                                <w:pStyle w:val="IEEETableText"/>
                                <w:jc w:val="center"/>
                              </w:pPr>
                              <w:r>
                                <w:rPr/>
                                <w:t xml:space="preserve">62.93</w:t>
                              </w:r>
                            </w:p>
                          </w:tc>
                          <w:tc>
                            <w:tcPr/>
                            <w:p>
                              <w:pPr>
                                <w:pStyle w:val="IEEETableText"/>
                                <w:jc w:val="center"/>
                              </w:pPr>
                              <w:r>
                                <w:rPr/>
                                <w:t xml:space="preserve">45.37</w:t>
                              </w:r>
                            </w:p>
                          </w:tc>
                        </w:tr>
                      </w:tbl>
                      <w:p>
                        <w:pPr>
                          <w:pStyle w:val="IEEETableNote"/>
                        </w:pPr>
                        <w:r>
                          <w:t xml:space="preserve"/>
                        </w:r>
                        <w:r>
                          <w:t xml:space="preserve"/>
                        </w:r>
                        <w:r>
                          <w:rPr>
                            <w:vertAlign w:val="superscript"/>
                          </w:rPr>
                          <w:t xml:space="preserve">a</w:t>
                        </w:r>
                        <w:r>
                          <w:t xml:space="preserve">Embedding of one aligned</w:t>
                        </w:r>
                        <w:r>
                          <w:t xml:space="preserve"> </w:t>
                        </w:r>
                        <m:oMath>
                          <m:r>
                            <m:t>112</m:t>
                          </m:r>
                          <m:r>
                            <m:rPr>
                              <m:sty m:val="p"/>
                            </m:rPr>
                            <m:t>×</m:t>
                          </m:r>
                          <m:r>
                            <m:t>112</m:t>
                          </m:r>
                        </m:oMath>
                        <w:r>
                          <w:t xml:space="preserve"> </w:t>
                        </w:r>
                        <w:r>
                          <w:t xml:space="preserve">face including flip TTA on the laptop CPU, mean of 200 runs with each library’s default threading (SFace: OpenCV DNN; ArcFace: onnxruntime).</w:t>
                        </w:r>
                      </w:p>
                    </w:txbxContent>
                  </wps:txbx>
                  <wps:bodyPr rot="0" vert="horz" wrap="square" lIns="0" tIns="0" rIns="0" bIns="0" anchor="t" anchorCtr="0">
                    <a:spAutoFit/>
                  </wps:bodyPr>
                </wps:wsp>
              </a:graphicData>
            </a:graphic>
          </wp:anchor>
        </w:drawing>
      </w:r>
      <w:r>
        <w:t xml:space="preserve">Table I compares SFace with two ArcFace models run through exactly the same pipeline (ROC curves in Fig. S3). SFace reaches 99.43% accuracy, an EER of 0.73% and 98.93% TAR at</w:t>
      </w:r>
      <w:r>
        <w:t xml:space="preserve"> </w:t>
      </w:r>
      <m:oMath>
        <m:sSup>
          <m:e>
            <m:r>
              <m:t>10</m:t>
            </m:r>
          </m:e>
          <m:sup>
            <m:r>
              <m:rPr>
                <m:sty m:val="p"/>
              </m:rPr>
              <m:t>−</m:t>
            </m:r>
            <m:r>
              <m:t>3</m:t>
            </m:r>
          </m:sup>
        </m:sSup>
      </m:oMath>
      <w:r>
        <w:t xml:space="preserve"> </w:t>
      </w:r>
      <w:r>
        <w:t xml:space="preserve">FAR. Both baselines perform better: the ArcFace ResNet-50 (166.3 MB) reaches 99.85% (paired</w:t>
      </w:r>
      <w:r>
        <w:t xml:space="preserve"> </w:t>
      </w:r>
      <m:oMath>
        <m:r>
          <m:t>t</m:t>
        </m:r>
      </m:oMath>
      <w:r>
        <w:t xml:space="preserve">-test against SFace:</w:t>
      </w:r>
      <w:r>
        <w:t xml:space="preserve"> </w:t>
      </w:r>
      <m:oMath>
        <m:r>
          <m:t>p</m:t>
        </m:r>
        <m:r>
          <m:rPr>
            <m:sty m:val="p"/>
          </m:rPr>
          <m:t>&lt;</m:t>
        </m:r>
        <m:r>
          <m:t>0.001</m:t>
        </m:r>
      </m:oMath>
      <w:r>
        <w:t xml:space="preserve">), and the smaller ArcFace MobileFaceNet (13.0 MB) reaches 99.63%, a difference that is not significant over the ten folds (</w:t>
      </w:r>
      <m:oMath>
        <m:r>
          <m:t>p</m:t>
        </m:r>
        <m:r>
          <m:rPr>
            <m:sty m:val="p"/>
          </m:rPr>
          <m:t>=</m:t>
        </m:r>
        <m:r>
          <m:t>0.066</m:t>
        </m:r>
      </m:oMath>
      <w:r>
        <w:t xml:space="preserve">) although its EER (0.40%) and its TAR at</w:t>
      </w:r>
      <w:r>
        <w:t xml:space="preserve"> </w:t>
      </w:r>
      <m:oMath>
        <m:sSup>
          <m:e>
            <m:r>
              <m:t>10</m:t>
            </m:r>
          </m:e>
          <m:sup>
            <m:r>
              <m:rPr>
                <m:sty m:val="p"/>
              </m:rPr>
              <m:t>−</m:t>
            </m:r>
            <m:r>
              <m:t>3</m:t>
            </m:r>
          </m:sup>
        </m:sSup>
      </m:oMath>
      <w:r>
        <w:t xml:space="preserve"> </w:t>
      </w:r>
      <w:r>
        <w:t xml:space="preserve">FAR (99.37%) are also better. FaceGuard nevertheless uses SFace because it is distributed under the Apache 2.0 license and runs in OpenCV without further dependencies, whereas the InsightFace models are released for non-commercial research only</w:t>
      </w:r>
      <w:r>
        <w:rPr>
          <w:rStyle w:val="FootnoteReference"/>
        </w:rPr>
        <w:footnoteReference w:id="24"/>
      </w:r>
      <w:r>
        <w:t xml:space="preserve">; a deployment that may use them would gain accuracy after recalibrating the thresholds. Mirroring at test time lowers the EER of SFace from 0.80% to 0.73% (accuracy gain not significant,</w:t>
      </w:r>
      <w:r>
        <w:t xml:space="preserve"> </w:t>
      </w:r>
      <m:oMath>
        <m:r>
          <m:t>p</m:t>
        </m:r>
        <m:r>
          <m:rPr>
            <m:sty m:val="p"/>
          </m:rPr>
          <m:t>=</m:t>
        </m:r>
        <m:r>
          <m:t>0.052</m:t>
        </m:r>
      </m:oMath>
      <w:r>
        <w:t xml:space="preserve">), whereas a plain resize of the detector box instead of landmark alignment cuts the accuracy to 87.88%. Because LFW is nearly saturated and its public figures may appear in the training data of these networks, the results are best read as an upper bound.</w:t>
      </w:r>
    </w:p>
    <w:p>
      <w:pPr>
        <w:pStyle w:val="BodyText"/>
      </w:pPr>
      <w:r>
        <w:t xml:space="preserve">On single LFW image pairs, the FAR/FRR of the relaxed, balanced and strict levels are 0.0628/0.88%, 0.0054/2.54% and 0.0004/7.79% (Table S2; score distributions in Fig. S4). The highest of the 1,000,000 different-person similarities was 0.555, and 99.08% of them fell under</w:t>
      </w:r>
      <w:r>
        <w:t xml:space="preserve"> </w:t>
      </w:r>
      <m:oMath>
        <m:sSub>
          <m:e>
            <m:r>
              <m:t>τ</m:t>
            </m:r>
          </m:e>
          <m:sub>
            <m:r>
              <m:t>u</m:t>
            </m:r>
          </m:sub>
        </m:sSub>
        <m:r>
          <m:rPr>
            <m:sty m:val="p"/>
          </m:rPr>
          <m:t>=</m:t>
        </m:r>
        <m:r>
          <m:t>0.30</m:t>
        </m:r>
      </m:oMath>
      <w:r>
        <w:t xml:space="preserve">, compared with 0.31% of the same-person pairs. The strict level thus stays below the Windows Hello limit of 0.001% FAR [7], and by the rule of thumb in the same specification</w:t>
      </w:r>
      <w:r>
        <w:t xml:space="preserve"> </w:t>
      </w:r>
      <m:oMath>
        <m:sSup>
          <m:e>
            <m:r>
              <m:t>10</m:t>
            </m:r>
          </m:e>
          <m:sup>
            <m:r>
              <m:t>6</m:t>
            </m:r>
          </m:sup>
        </m:sSup>
      </m:oMath>
      <w:r>
        <w:t xml:space="preserve"> </w:t>
      </w:r>
      <w:r>
        <w:t xml:space="preserve">comparisons support a FAR of</w:t>
      </w:r>
      <w:r>
        <w:t xml:space="preserve"> </w:t>
      </w:r>
      <m:oMath>
        <m:sSup>
          <m:e>
            <m:r>
              <m:t>10</m:t>
            </m:r>
          </m:e>
          <m:sup>
            <m:r>
              <m:rPr>
                <m:sty m:val="p"/>
              </m:rPr>
              <m:t>−</m:t>
            </m:r>
            <m:r>
              <m:t>5</m:t>
            </m:r>
          </m:sup>
        </m:sSup>
      </m:oMath>
      <w:r>
        <w:t xml:space="preserve"> </w:t>
      </w:r>
      <w:r>
        <w:t xml:space="preserve">at 90% confidence. These are pairwise LFW rates, not a certification under the Windows Hello protocol, and the strict single-pair FRR exceeds the 5% requirement, although comparing each frame with about 22 enrolled samples and smoothing over time lowers false rejections in operation. No impostor pair reached the adaptive-update gate of 0.57, which bounds the probability that an impostor frame updates a template by</w:t>
      </w:r>
      <w:r>
        <w:t xml:space="preserve"> </w:t>
      </w:r>
      <m:oMath>
        <m:r>
          <m:t>3</m:t>
        </m:r>
        <m:r>
          <m:rPr>
            <m:sty m:val="p"/>
          </m:rPr>
          <m:t>×</m:t>
        </m:r>
        <m:sSup>
          <m:e>
            <m:r>
              <m:t>10</m:t>
            </m:r>
          </m:e>
          <m:sup>
            <m:r>
              <m:rPr>
                <m:sty m:val="p"/>
              </m:rPr>
              <m:t>−</m:t>
            </m:r>
            <m:r>
              <m:t>6</m:t>
            </m:r>
          </m:sup>
        </m:sSup>
      </m:oMath>
      <w:r>
        <w:t xml:space="preserve">.</w:t>
      </w:r>
    </w:p>
    <w:bookmarkEnd w:id="27"/>
    <w:bookmarkStart w:id="28" w:name="identification-and-robustness"/>
    <w:p>
      <w:pPr>
        <w:pStyle w:val="Heading2"/>
      </w:pPr>
      <w:r>
        <w:t xml:space="preserve">Identification and Robustness</w:t>
      </w:r>
    </w:p>
    <w:p>
      <w:pPr>
        <w:pStyle w:val="FirstParagraph"/>
      </w:pPr>
      <w:r>
        <w:t xml:space="preserve">Closed-set identification is 99.30% correct with a single enrollment image, and trained classifiers bring no meaningful gain (Section S2). In the open-set test (Fig. S5, Table S3), the top-3 rule falsely accepts 1.22% of unseen people at the balanced threshold, about half the rate of the nearest-neighbor rule (2.36%), while identifying 99.65% of enrolled probes. Under degraded probes (Fig. S6), where clean probes give 97.00% TAR at the balanced threshold, darkness hardly matters (88.17% TAR at 15% brightness), whereas over-exposure does (25.17% at three times the brightness); recognition holds for faces down to about 24 pixels in width (85.83% TAR), while detection breaks down below roughly 17 pixels. A mask-like occluder keeps 87.33% TAR and sunglasses 71.67%. On 1,199,435 impostor comparisons per condition, severe degradations lowered the FAR and the highest value, 0.0047% for down-scaling by a factor of 0.5, remained below the pairwise FAR of the balanced level, so degraded probes are mostly rejected rather than confused with other people.</w:t>
      </w:r>
    </w:p>
    <w:bookmarkEnd w:id="28"/>
    <w:bookmarkStart w:id="29" w:name="laptop-webcam-images"/>
    <w:p>
      <w:pPr>
        <w:pStyle w:val="Heading2"/>
      </w:pPr>
      <w:r>
        <w:t xml:space="preserve">Laptop-Webcam Images</w:t>
      </w:r>
    </w:p>
    <w:p>
      <w:pPr>
        <w:pStyle w:val="FirstParagraph"/>
      </w:pPr>
      <w:r xmlns:wps="http://schemas.microsoft.com/office/word/2010/wordprocessingShape">
        <w:drawing>
          <wp:anchor distT="0" distB="101600" distL="0" distR="0" simplePos="0" relativeHeight="251659366" behindDoc="0" locked="0" layoutInCell="1" allowOverlap="0">
            <wp:simplePos x="0" y="0"/>
            <wp:positionH relativeFrom="margin">
              <wp:align>center</wp:align>
            </wp:positionH>
            <wp:positionV relativeFrom="margin">
              <wp:align>top</wp:align>
            </wp:positionV>
            <wp:extent cx="6546850" cy="1422400"/>
            <wp:effectExtent l="0" t="0" r="0" b="0"/>
            <wp:wrapTopAndBottom/>
            <wp:docPr id="5102" name="Table 2"/>
            <wp:cNvGraphicFramePr/>
            <a:graphic>
              <a:graphicData uri="http://schemas.microsoft.com/office/word/2010/wordprocessingShape">
                <wps:wsp>
                  <wps:cNvSpPr txBox="1"/>
                  <wps:spPr>
                    <a:xfrm>
                      <a:off x="0" y="0"/>
                      <a:ext cx="6546850" cy="1422400"/>
                    </a:xfrm>
                    <a:prstGeom prst="rect">
                      <a:avLst/>
                    </a:prstGeom>
                    <a:noFill/>
                    <a:ln>
                      <a:noFill/>
                    </a:ln>
                  </wps:spPr>
                  <wps:txbx>
                    <w:txbxContent>
                      <w:p>
                        <w:pPr>
                          <w:pStyle w:val="IEEETableCaption"/>
                        </w:pPr>
                        <w:r>
                          <w:t xml:space="preserve">TABLE II</w:t>
                          <w:br/>
                        </w:r>
                        <w:r>
                          <w:rPr>
                            <w:smallCaps/>
                          </w:rPr>
                          <w:t xml:space="preserve">Recognition on Laptop-Webcam Images (MPIIFaceGaze, 15 Participants, Pairs From Different Days)</w:t>
                        </w:r>
                      </w:p>
                      <w:tbl>
                        <w:tblPr>
                          <w:tblW w:w="0" w:type="auto"/>
                          <w:jc w:val="center"/>
                          <w:tblBorders>
                            <w:top w:val="single" w:sz="8" w:space="0" w:color="000000"/>
                            <w:left w:val="nil"/>
                            <w:bottom w:val="single" w:sz="8" w:space="0" w:color="000000"/>
                            <w:right w:val="nil"/>
                            <w:insideH w:val="nil"/>
                            <w:insideV w:val="nil"/>
                          </w:tblBorders>
                          <w:tblLayout w:type="autofit"/>
                          <w:tblCellMar>
                            <w:top w:w="0" w:type="dxa"/>
                            <w:left w:w="60" w:type="dxa"/>
                            <w:bottom w:w="0" w:type="dxa"/>
                            <w:right w:w="60" w:type="dxa"/>
                          </w:tblCellMar>
                        </w:tblPr>
                        <w:tblGrid>
                          <w:gridCol w:w="990"/>
                          <w:gridCol w:w="990"/>
                          <w:gridCol w:w="990"/>
                          <w:gridCol w:w="990"/>
                          <w:gridCol w:w="990"/>
                          <w:gridCol w:w="990"/>
                          <w:gridCol w:w="990"/>
                          <w:gridCol w:w="990"/>
                        </w:tblGrid>
                        <w:tr>
                          <w:trPr>
                            <w:cantSplit/>
                          </w:trPr>
                          <w:tc>
                            <w:tcPr/>
                            <w:p>
                              <w:pPr>
                                <w:pStyle w:val="IEEETableText"/>
                                <w:keepNext/>
                              </w:pPr>
                            </w:p>
                          </w:tc>
                          <w:tc>
                            <w:tcPr>
                              <w:gridSpan w:val="5"/>
                            </w:tcPr>
                            <w:p>
                              <w:pPr>
                                <w:pStyle w:val="IEEETableText"/>
                                <w:keepNext/>
                                <w:jc w:val="center"/>
                              </w:pPr>
                              <w:r>
                                <w:rPr/>
                                <w:t xml:space="preserve">Pairwise verification (cross-day)</w:t>
                              </w:r>
                            </w:p>
                          </w:tc>
                          <w:tc>
                            <w:tcPr>
                              <w:gridSpan w:val="2"/>
                            </w:tcPr>
                            <w:p>
                              <w:pPr>
                                <w:pStyle w:val="IEEETableText"/>
                                <w:keepNext/>
                                <w:jc w:val="center"/>
                              </w:pPr>
                              <w:r>
                                <w:rPr/>
                                <w:t xml:space="preserve">Enrollment protocol,</w:t>
                              </w:r>
                              <w:r>
                                <w:rPr/>
                                <w:t xml:space="preserve"> </w:t>
                              </w:r>
                              <m:oMath>
                                <m:r>
                                  <m:t>τ</m:t>
                                </m:r>
                                <m:r>
                                  <m:rPr>
                                    <m:sty m:val="p"/>
                                  </m:rPr>
                                  <m:t>=</m:t>
                                </m:r>
                                <m:r>
                                  <m:t>0.45</m:t>
                                </m:r>
                              </m:oMath>
                            </w:p>
                          </w:tc>
                        </w:tr>
                        <w:tr>
                          <w:trPr>
                            <w:cantSplit/>
                          </w:trPr>
                          <w:tc>
                            <w:tcPr/>
                            <w:p>
                              <w:pPr>
                                <w:pStyle w:val="IEEETableText"/>
                                <w:keepNext/>
                              </w:pPr>
                            </w:p>
                          </w:tc>
                          <w:tc>
                            <w:tcPr/>
                            <w:p>
                              <w:pPr>
                                <w:pStyle w:val="IEEETableText"/>
                                <w:keepNext/>
                              </w:pPr>
                            </w:p>
                          </w:tc>
                          <w:tc>
                            <w:tcPr/>
                            <w:p>
                              <w:pPr>
                                <w:pStyle w:val="IEEETableText"/>
                                <w:keepNext/>
                                <w:jc w:val="center"/>
                              </w:pPr>
                              <w:r>
                                <w:rPr/>
                                <w:t xml:space="preserve">EER</w:t>
                              </w:r>
                            </w:p>
                          </w:tc>
                          <w:tc>
                            <w:tcPr/>
                            <w:p>
                              <w:pPr>
                                <w:pStyle w:val="IEEETableText"/>
                                <w:keepNext/>
                                <w:jc w:val="center"/>
                              </w:pPr>
                              <w:r>
                                <w:rPr/>
                                <w:t xml:space="preserve">TAR @ FAR</w:t>
                              </w:r>
                            </w:p>
                          </w:tc>
                          <w:tc>
                            <w:tcPr/>
                            <w:p>
                              <w:pPr>
                                <w:pStyle w:val="IEEETableText"/>
                                <w:keepNext/>
                                <w:jc w:val="center"/>
                              </w:pPr>
                              <w:r>
                                <w:rPr/>
                                <w:t xml:space="preserve">FAR @</w:t>
                              </w:r>
                            </w:p>
                          </w:tc>
                          <w:tc>
                            <w:tcPr/>
                            <w:p>
                              <w:pPr>
                                <w:pStyle w:val="IEEETableText"/>
                                <w:keepNext/>
                                <w:jc w:val="center"/>
                              </w:pPr>
                              <w:r>
                                <w:rPr/>
                                <w:t xml:space="preserve">FRR @</w:t>
                              </w:r>
                            </w:p>
                          </w:tc>
                          <w:tc>
                            <w:tcPr/>
                            <w:p>
                              <w:pPr>
                                <w:pStyle w:val="IEEETableText"/>
                                <w:keepNext/>
                                <w:jc w:val="center"/>
                              </w:pPr>
                              <w:r>
                                <w:rPr/>
                                <w:t xml:space="preserve">Probes</w:t>
                              </w:r>
                            </w:p>
                          </w:tc>
                          <w:tc>
                            <w:tcPr/>
                            <w:p>
                              <w:pPr>
                                <w:pStyle w:val="IEEETableText"/>
                                <w:keepNext/>
                                <w:jc w:val="center"/>
                              </w:pPr>
                              <w:r>
                                <w:rPr/>
                                <w:t xml:space="preserve">Impostors</w:t>
                              </w:r>
                            </w:p>
                          </w:tc>
                        </w:tr>
                        <w:tr>
                          <w:trPr>
                            <w:cantSplit/>
                          </w:trPr>
                          <w:tc>
                            <w:tcPr>
                              <w:tcBorders>
                                <w:bottom w:val="single" w:sz="4" w:space="0" w:color="000000"/>
                              </w:tcBorders>
                            </w:tcPr>
                            <w:p>
                              <w:pPr>
                                <w:pStyle w:val="IEEETableText"/>
                                <w:keepNext/>
                                <w:jc w:val="left"/>
                              </w:pPr>
                              <w:r>
                                <w:rPr/>
                                <w:t xml:space="preserve">Model</w:t>
                              </w:r>
                            </w:p>
                          </w:tc>
                          <w:tc>
                            <w:tcPr>
                              <w:tcBorders>
                                <w:bottom w:val="single" w:sz="4" w:space="0" w:color="000000"/>
                              </w:tcBorders>
                            </w:tcPr>
                            <w:p>
                              <w:pPr>
                                <w:pStyle w:val="IEEETableText"/>
                                <w:keepNext/>
                                <w:jc w:val="center"/>
                              </w:pPr>
                              <w:r>
                                <w:rPr/>
                                <w:t xml:space="preserve">AUC</w:t>
                              </w:r>
                            </w:p>
                          </w:tc>
                          <w:tc>
                            <w:tcPr>
                              <w:tcBorders>
                                <w:bottom w:val="single" w:sz="4" w:space="0" w:color="000000"/>
                              </w:tcBorders>
                            </w:tcPr>
                            <w:p>
                              <w:pPr>
                                <w:pStyle w:val="IEEETableText"/>
                                <w:keepNext/>
                                <w:jc w:val="center"/>
                              </w:pPr>
                              <w:r>
                                <w:rPr/>
                                <w:t xml:space="preserve">(%)</w:t>
                              </w:r>
                            </w:p>
                          </w:tc>
                          <w:tc>
                            <w:tcPr>
                              <w:tcBorders>
                                <w:bottom w:val="single" w:sz="4" w:space="0" w:color="000000"/>
                              </w:tcBorders>
                            </w:tcPr>
                            <w:p>
                              <w:pPr>
                                <w:pStyle w:val="IEEETableText"/>
                                <w:keepNext/>
                                <w:jc w:val="center"/>
                              </w:pPr>
                              <m:oMath>
                                <m:sSup>
                                  <m:e>
                                    <m:r>
                                      <m:t>10</m:t>
                                    </m:r>
                                  </m:e>
                                  <m:sup>
                                    <m:r>
                                      <m:rPr>
                                        <m:sty m:val="p"/>
                                      </m:rPr>
                                      <m:t>−</m:t>
                                    </m:r>
                                    <m:r>
                                      <m:t>3</m:t>
                                    </m:r>
                                  </m:sup>
                                </m:sSup>
                              </m:oMath>
                              <w:r>
                                <w:rPr/>
                                <w:t xml:space="preserve"> </w:t>
                              </w:r>
                              <w:r>
                                <w:rPr/>
                                <w:t xml:space="preserve">(%)</w:t>
                              </w:r>
                            </w:p>
                          </w:tc>
                          <w:tc>
                            <w:tcPr>
                              <w:tcBorders>
                                <w:bottom w:val="single" w:sz="4" w:space="0" w:color="000000"/>
                              </w:tcBorders>
                            </w:tcPr>
                            <w:p>
                              <w:pPr>
                                <w:pStyle w:val="IEEETableText"/>
                                <w:keepNext/>
                                <w:jc w:val="center"/>
                              </w:pPr>
                              <m:oMath>
                                <m:r>
                                  <m:t>τ</m:t>
                                </m:r>
                                <m:r>
                                  <m:rPr>
                                    <m:sty m:val="p"/>
                                  </m:rPr>
                                  <m:t>=</m:t>
                                </m:r>
                                <m:r>
                                  <m:t>0.45</m:t>
                                </m:r>
                              </m:oMath>
                              <w:r>
                                <w:rPr/>
                                <w:t xml:space="preserve"> </w:t>
                              </w:r>
                              <w:r>
                                <w:rPr/>
                                <w:t xml:space="preserve">(%)</w:t>
                              </w:r>
                            </w:p>
                          </w:tc>
                          <w:tc>
                            <w:tcPr>
                              <w:tcBorders>
                                <w:bottom w:val="single" w:sz="4" w:space="0" w:color="000000"/>
                              </w:tcBorders>
                            </w:tcPr>
                            <w:p>
                              <w:pPr>
                                <w:pStyle w:val="IEEETableText"/>
                                <w:keepNext/>
                                <w:jc w:val="center"/>
                              </w:pPr>
                              <m:oMath>
                                <m:r>
                                  <m:t>τ</m:t>
                                </m:r>
                                <m:r>
                                  <m:rPr>
                                    <m:sty m:val="p"/>
                                  </m:rPr>
                                  <m:t>=</m:t>
                                </m:r>
                                <m:r>
                                  <m:t>0.45</m:t>
                                </m:r>
                              </m:oMath>
                              <w:r>
                                <w:rPr/>
                                <w:t xml:space="preserve"> </w:t>
                              </w:r>
                              <w:r>
                                <w:rPr/>
                                <w:t xml:space="preserve">(%)</w:t>
                              </w:r>
                            </w:p>
                          </w:tc>
                          <w:tc>
                            <w:tcPr>
                              <w:tcBorders>
                                <w:bottom w:val="single" w:sz="4" w:space="0" w:color="000000"/>
                              </w:tcBorders>
                            </w:tcPr>
                            <w:p>
                              <w:pPr>
                                <w:pStyle w:val="IEEETableText"/>
                                <w:keepNext/>
                                <w:jc w:val="center"/>
                              </w:pPr>
                              <w:r>
                                <w:rPr/>
                                <w:t xml:space="preserve">accepted (%)</w:t>
                              </w:r>
                            </w:p>
                          </w:tc>
                          <w:tc>
                            <w:tcPr>
                              <w:tcBorders>
                                <w:bottom w:val="single" w:sz="4" w:space="0" w:color="000000"/>
                              </w:tcBorders>
                            </w:tcPr>
                            <w:p>
                              <w:pPr>
                                <w:pStyle w:val="IEEETableText"/>
                                <w:keepNext/>
                                <w:jc w:val="center"/>
                              </w:pPr>
                              <w:r>
                                <w:rPr/>
                                <w:t xml:space="preserve">accepted (%)</w:t>
                              </w:r>
                            </w:p>
                          </w:tc>
                        </w:tr>
                        <w:tr>
                          <w:trPr>
                            <w:cantSplit/>
                          </w:trPr>
                          <w:tc>
                            <w:tcPr/>
                            <w:p>
                              <w:pPr>
                                <w:pStyle w:val="IEEETableText"/>
                                <w:keepNext/>
                                <w:jc w:val="left"/>
                              </w:pPr>
                              <w:r>
                                <w:rPr/>
                                <w:t xml:space="preserve">SFace (FaceGuard)</w:t>
                              </w:r>
                            </w:p>
                          </w:tc>
                          <w:tc>
                            <w:tcPr/>
                            <w:p>
                              <w:pPr>
                                <w:pStyle w:val="IEEETableText"/>
                                <w:keepNext/>
                                <w:jc w:val="center"/>
                              </w:pPr>
                              <w:r>
                                <w:rPr/>
                                <w:t xml:space="preserve">0.99992</w:t>
                              </w:r>
                            </w:p>
                          </w:tc>
                          <w:tc>
                            <w:tcPr/>
                            <w:p>
                              <w:pPr>
                                <w:pStyle w:val="IEEETableText"/>
                                <w:keepNext/>
                                <w:jc w:val="center"/>
                              </w:pPr>
                              <w:r>
                                <w:rPr/>
                                <w:t xml:space="preserve">0.21</w:t>
                              </w:r>
                            </w:p>
                          </w:tc>
                          <w:tc>
                            <w:tcPr/>
                            <w:p>
                              <w:pPr>
                                <w:pStyle w:val="IEEETableText"/>
                                <w:keepNext/>
                                <w:jc w:val="center"/>
                              </w:pPr>
                              <w:r>
                                <w:rPr/>
                                <w:t xml:space="preserve">99.75</w:t>
                              </w:r>
                            </w:p>
                          </w:tc>
                          <w:tc>
                            <w:tcPr/>
                            <w:p>
                              <w:pPr>
                                <w:pStyle w:val="IEEETableText"/>
                                <w:keepNext/>
                                <w:jc w:val="center"/>
                              </w:pPr>
                              <w:r>
                                <w:rPr/>
                                <w:t xml:space="preserve">0.0006</w:t>
                              </w:r>
                            </w:p>
                          </w:tc>
                          <w:tc>
                            <w:tcPr/>
                            <w:p>
                              <w:pPr>
                                <w:pStyle w:val="IEEETableText"/>
                                <w:keepNext/>
                                <w:jc w:val="center"/>
                              </w:pPr>
                              <w:r>
                                <w:rPr/>
                                <w:t xml:space="preserve">0.67</w:t>
                              </w:r>
                            </w:p>
                          </w:tc>
                          <w:tc>
                            <w:tcPr/>
                            <w:p>
                              <w:pPr>
                                <w:pStyle w:val="IEEETableText"/>
                                <w:keepNext/>
                                <w:jc w:val="center"/>
                              </w:pPr>
                              <w:r>
                                <w:rPr/>
                                <w:t xml:space="preserve">100.00</w:t>
                              </w:r>
                            </w:p>
                          </w:tc>
                          <w:tc>
                            <w:tcPr/>
                            <w:p>
                              <w:pPr>
                                <w:pStyle w:val="IEEETableText"/>
                                <w:keepNext/>
                                <w:jc w:val="center"/>
                              </w:pPr>
                              <w:r>
                                <w:rPr/>
                                <w:t xml:space="preserve">0.00</w:t>
                              </w:r>
                            </w:p>
                          </w:tc>
                        </w:tr>
                        <w:tr>
                          <w:trPr>
                            <w:cantSplit/>
                          </w:trPr>
                          <w:tc>
                            <w:tcPr/>
                            <w:p>
                              <w:pPr>
                                <w:pStyle w:val="IEEETableText"/>
                                <w:keepNext/>
                                <w:jc w:val="left"/>
                              </w:pPr>
                              <w:r>
                                <w:rPr/>
                                <w:t xml:space="preserve">ArcFace MobileFaceNet</w:t>
                              </w:r>
                            </w:p>
                          </w:tc>
                          <w:tc>
                            <w:tcPr/>
                            <w:p>
                              <w:pPr>
                                <w:pStyle w:val="IEEETableText"/>
                                <w:keepNext/>
                                <w:jc w:val="center"/>
                              </w:pPr>
                              <w:r>
                                <w:rPr/>
                                <w:t xml:space="preserve">0.99996</w:t>
                              </w:r>
                            </w:p>
                          </w:tc>
                          <w:tc>
                            <w:tcPr/>
                            <w:p>
                              <w:pPr>
                                <w:pStyle w:val="IEEETableText"/>
                                <w:keepNext/>
                                <w:jc w:val="center"/>
                              </w:pPr>
                              <w:r>
                                <w:rPr/>
                                <w:t xml:space="preserve">0.09</w:t>
                              </w:r>
                            </w:p>
                          </w:tc>
                          <w:tc>
                            <w:tcPr/>
                            <w:p>
                              <w:pPr>
                                <w:pStyle w:val="IEEETableText"/>
                                <w:keepNext/>
                                <w:jc w:val="center"/>
                              </w:pPr>
                              <w:r>
                                <w:rPr/>
                                <w:t xml:space="preserve">99.92</w:t>
                              </w:r>
                            </w:p>
                          </w:tc>
                          <w:tc>
                            <w:tcPr/>
                            <w:p>
                              <w:pPr>
                                <w:pStyle w:val="IEEETableText"/>
                                <w:keepNext/>
                                <w:jc w:val="center"/>
                              </w:pPr>
                              <w:r>
                                <w:rPr/>
                                <w:t xml:space="preserve">–</w:t>
                              </w:r>
                            </w:p>
                          </w:tc>
                          <w:tc>
                            <w:tcPr/>
                            <w:p>
                              <w:pPr>
                                <w:pStyle w:val="IEEETableText"/>
                                <w:keepNext/>
                                <w:jc w:val="center"/>
                              </w:pPr>
                              <w:r>
                                <w:rPr/>
                                <w:t xml:space="preserve">–</w:t>
                              </w:r>
                            </w:p>
                          </w:tc>
                          <w:tc>
                            <w:tcPr/>
                            <w:p>
                              <w:pPr>
                                <w:pStyle w:val="IEEETableText"/>
                                <w:keepNext/>
                                <w:jc w:val="center"/>
                              </w:pPr>
                              <w:r>
                                <w:rPr/>
                                <w:t xml:space="preserve">–</w:t>
                              </w:r>
                            </w:p>
                          </w:tc>
                          <w:tc>
                            <w:tcPr/>
                            <w:p>
                              <w:pPr>
                                <w:pStyle w:val="IEEETableText"/>
                                <w:keepNext/>
                                <w:jc w:val="center"/>
                              </w:pPr>
                              <w:r>
                                <w:rPr/>
                                <w:t xml:space="preserve">–</w:t>
                              </w:r>
                            </w:p>
                          </w:tc>
                        </w:tr>
                        <w:tr>
                          <w:trPr>
                            <w:cantSplit/>
                          </w:trPr>
                          <w:tc>
                            <w:tcPr/>
                            <w:p>
                              <w:pPr>
                                <w:pStyle w:val="IEEETableText"/>
                                <w:jc w:val="left"/>
                              </w:pPr>
                              <w:r>
                                <w:rPr/>
                                <w:t xml:space="preserve">ArcFace ResNet-50</w:t>
                              </w:r>
                            </w:p>
                          </w:tc>
                          <w:tc>
                            <w:tcPr/>
                            <w:p>
                              <w:pPr>
                                <w:pStyle w:val="IEEETableText"/>
                                <w:jc w:val="center"/>
                              </w:pPr>
                              <w:r>
                                <w:rPr/>
                                <w:t xml:space="preserve">0.99999</w:t>
                              </w:r>
                            </w:p>
                          </w:tc>
                          <w:tc>
                            <w:tcPr/>
                            <w:p>
                              <w:pPr>
                                <w:pStyle w:val="IEEETableText"/>
                                <w:jc w:val="center"/>
                              </w:pPr>
                              <w:r>
                                <w:rPr/>
                                <w:t xml:space="preserve">0.04</w:t>
                              </w:r>
                            </w:p>
                          </w:tc>
                          <w:tc>
                            <w:tcPr/>
                            <w:p>
                              <w:pPr>
                                <w:pStyle w:val="IEEETableText"/>
                                <w:jc w:val="center"/>
                              </w:pPr>
                              <w:r>
                                <w:rPr/>
                                <w:t xml:space="preserve">99.96</w:t>
                              </w:r>
                            </w:p>
                          </w:tc>
                          <w:tc>
                            <w:tcPr/>
                            <w:p>
                              <w:pPr>
                                <w:pStyle w:val="IEEETableText"/>
                                <w:jc w:val="center"/>
                              </w:pPr>
                              <w:r>
                                <w:rPr/>
                                <w:t xml:space="preserve">–</w:t>
                              </w:r>
                            </w:p>
                          </w:tc>
                          <w:tc>
                            <w:tcPr/>
                            <w:p>
                              <w:pPr>
                                <w:pStyle w:val="IEEETableText"/>
                                <w:jc w:val="center"/>
                              </w:pPr>
                              <w:r>
                                <w:rPr/>
                                <w:t xml:space="preserve">–</w:t>
                              </w:r>
                            </w:p>
                          </w:tc>
                          <w:tc>
                            <w:tcPr/>
                            <w:p>
                              <w:pPr>
                                <w:pStyle w:val="IEEETableText"/>
                                <w:jc w:val="center"/>
                              </w:pPr>
                              <w:r>
                                <w:rPr/>
                                <w:t xml:space="preserve">–</w:t>
                              </w:r>
                            </w:p>
                          </w:tc>
                          <w:tc>
                            <w:tcPr/>
                            <w:p>
                              <w:pPr>
                                <w:pStyle w:val="IEEETableText"/>
                                <w:jc w:val="center"/>
                              </w:pPr>
                              <w:r>
                                <w:rPr/>
                                <w:t xml:space="preserve">–</w:t>
                              </w:r>
                            </w:p>
                          </w:tc>
                        </w:tr>
                      </w:tbl>
                      <w:p>
                        <w:pPr>
                          <w:pStyle w:val="IEEETableNote"/>
                        </w:pPr>
                        <w:r>
                          <w:t xml:space="preserve">– : not applicable, because the security thresholds of FaceGuard are calibrated for SFace.</w:t>
                        </w:r>
                      </w:p>
                    </w:txbxContent>
                  </wps:txbx>
                  <wps:bodyPr rot="0" vert="horz" wrap="square" lIns="0" tIns="0" rIns="0" bIns="0" anchor="t" anchorCtr="0">
                    <a:spAutoFit/>
                  </wps:bodyPr>
                </wps:wsp>
              </a:graphicData>
            </a:graphic>
          </wp:anchor>
        </w:drawing>
      </w:r>
      <w:r>
        <w:t xml:space="preserve">Table II reports recognition on the MPIIFaceGaze frames, which resemble the use of FaceGuard far more closely than LFW does: one person at a desk, a fixed built-in camera and lighting that changes over days and weeks. Across 618,895 same-person pairs from different days and 9,450,000 different-person pairs, SFace reaches an AUC of 0.99992 and an EER of 0.21%. At the balanced threshold 0.0006% of impostor pairs were accepted and 0.67% of genuine pairs rejected, and at the strict threshold none was accepted. Under the enrollment protocol of FaceGuard, all 2,047 probes from the later recording days were accepted at the balanced level and no impostor probe was (highest impostor score 0.425), but at the relaxed level 4.1% of impostor probes exceeded the threshold, which argues against that level when several people are enrolled. With only 15 identities these false-accept estimates are less general than the LFW ones, but the pipeline evidently transfers to everyday laptop-webcam images and to appearance changes over weeks.</w:t>
      </w:r>
    </w:p>
    <w:bookmarkEnd w:id="29"/>
    <w:bookmarkStart w:id="30" w:name="demographic-differentials"/>
    <w:p>
      <w:pPr>
        <w:pStyle w:val="Heading2"/>
      </w:pPr>
      <w:r>
        <w:t xml:space="preserve">Demographic Differentials</w:t>
      </w:r>
    </w:p>
    <w:p>
      <w:pPr>
        <w:pStyle w:val="FirstParagraph"/>
      </w:pPr>
      <w:r xmlns:wps="http://schemas.microsoft.com/office/word/2010/wordprocessingShape">
        <w:drawing>
          <wp:anchor distT="0" distB="101600" distL="0" distR="0" simplePos="0" relativeHeight="251659367" behindDoc="0" locked="0" layoutInCell="1" allowOverlap="0">
            <wp:simplePos x="0" y="0"/>
            <wp:positionH relativeFrom="margin">
              <wp:align>center</wp:align>
            </wp:positionH>
            <wp:positionV relativeFrom="margin">
              <wp:align>top</wp:align>
            </wp:positionV>
            <wp:extent cx="6546850" cy="1981200"/>
            <wp:effectExtent l="0" t="0" r="0" b="0"/>
            <wp:wrapTopAndBottom/>
            <wp:docPr id="5103" name="Table 3"/>
            <wp:cNvGraphicFramePr/>
            <a:graphic>
              <a:graphicData uri="http://schemas.microsoft.com/office/word/2010/wordprocessingShape">
                <wps:wsp>
                  <wps:cNvSpPr txBox="1"/>
                  <wps:spPr>
                    <a:xfrm>
                      <a:off x="0" y="0"/>
                      <a:ext cx="6546850" cy="1981200"/>
                    </a:xfrm>
                    <a:prstGeom prst="rect">
                      <a:avLst/>
                    </a:prstGeom>
                    <a:noFill/>
                    <a:ln>
                      <a:noFill/>
                    </a:ln>
                  </wps:spPr>
                  <wps:txbx>
                    <w:txbxContent>
                      <w:p>
                        <w:pPr>
                          <w:pStyle w:val="IEEETableCaption"/>
                        </w:pPr>
                        <w:r>
                          <w:t xml:space="preserve">TABLE III</w:t>
                          <w:br/>
                        </w:r>
                        <w:r>
                          <w:rPr>
                            <w:smallCaps/>
                          </w:rPr>
                          <w:t xml:space="preserve">Error Rates per Demographic Group on LFW at</w:t>
                        </w:r>
                        <w:r>
                          <w:rPr>
                            <w:smallCaps/>
                          </w:rPr>
                          <w:t xml:space="preserve"> </w:t>
                        </w:r>
                        <m:oMath>
                          <m:r>
                            <m:t>τ</m:t>
                          </m:r>
                          <m:r>
                            <m:rPr>
                              <m:sty m:val="p"/>
                            </m:rPr>
                            <m:t>=</m:t>
                          </m:r>
                          <m:r>
                            <m:t>0.45</m:t>
                          </m:r>
                        </m:oMath>
                        <w:r>
                          <w:rPr>
                            <w:smallCaps/>
                          </w:rPr>
                          <w:t xml:space="preserve"> </w:t>
                        </w:r>
                        <w:r>
                          <w:rPr>
                            <w:smallCaps/>
                          </w:rPr>
                          <w:t xml:space="preserve">(%; 95% Wilson Intervals in Brackets)</w:t>
                        </w:r>
                      </w:p>
                      <w:tbl>
                        <w:tblPr>
                          <w:tblW w:w="0" w:type="auto"/>
                          <w:jc w:val="center"/>
                          <w:tblBorders>
                            <w:top w:val="single" w:sz="8" w:space="0" w:color="000000"/>
                            <w:left w:val="nil"/>
                            <w:bottom w:val="single" w:sz="8" w:space="0" w:color="000000"/>
                            <w:right w:val="nil"/>
                            <w:insideH w:val="nil"/>
                            <w:insideV w:val="nil"/>
                          </w:tblBorders>
                          <w:tblLayout w:type="autofit"/>
                          <w:tblCellMar>
                            <w:top w:w="0" w:type="dxa"/>
                            <w:left w:w="60" w:type="dxa"/>
                            <w:bottom w:w="0" w:type="dxa"/>
                            <w:right w:w="60" w:type="dxa"/>
                          </w:tblCellMar>
                        </w:tblPr>
                        <w:tblGrid>
                          <w:gridCol w:w="1320"/>
                          <w:gridCol w:w="1320"/>
                          <w:gridCol w:w="1320"/>
                          <w:gridCol w:w="1320"/>
                          <w:gridCol w:w="1320"/>
                          <w:gridCol w:w="1320"/>
                        </w:tblGrid>
                        <w:tr>
                          <w:trPr>
                            <w:cantSplit/>
                            <w:tblHeader w:val="on"/>
                          </w:trPr>
                          <w:tc>
                            <w:tcPr>
                              <w:tcBorders>
                                <w:bottom w:val="single" w:sz="4" w:space="0" w:color="000000"/>
                              </w:tcBorders>
                            </w:tcPr>
                            <w:p>
                              <w:pPr>
                                <w:pStyle w:val="IEEETableText"/>
                                <w:keepNext/>
                                <w:jc w:val="left"/>
                              </w:pPr>
                              <w:r>
                                <w:rPr/>
                                <w:t xml:space="preserve">Group</w:t>
                              </w:r>
                            </w:p>
                          </w:tc>
                          <w:tc>
                            <w:tcPr>
                              <w:tcBorders>
                                <w:bottom w:val="single" w:sz="4" w:space="0" w:color="000000"/>
                              </w:tcBorders>
                            </w:tcPr>
                            <w:p>
                              <w:pPr>
                                <w:pStyle w:val="IEEETableText"/>
                                <w:keepNext/>
                                <w:jc w:val="right"/>
                              </w:pPr>
                              <w:r>
                                <w:rPr/>
                                <w:t xml:space="preserve">People</w:t>
                              </w:r>
                            </w:p>
                          </w:tc>
                          <w:tc>
                            <w:tcPr>
                              <w:tcBorders>
                                <w:bottom w:val="single" w:sz="4" w:space="0" w:color="000000"/>
                              </w:tcBorders>
                            </w:tcPr>
                            <w:p>
                              <w:pPr>
                                <w:pStyle w:val="IEEETableText"/>
                                <w:keepNext/>
                                <w:jc w:val="right"/>
                              </w:pPr>
                              <w:r>
                                <w:rPr/>
                                <w:t xml:space="preserve">Genuine pairs</w:t>
                              </w:r>
                            </w:p>
                          </w:tc>
                          <w:tc>
                            <w:tcPr>
                              <w:tcBorders>
                                <w:bottom w:val="single" w:sz="4" w:space="0" w:color="000000"/>
                              </w:tcBorders>
                            </w:tcPr>
                            <w:p>
                              <w:pPr>
                                <w:pStyle w:val="IEEETableText"/>
                                <w:keepNext/>
                                <w:jc w:val="center"/>
                              </w:pPr>
                              <w:r>
                                <w:rPr/>
                                <w:t xml:space="preserve">FNMR (%)</w:t>
                              </w:r>
                            </w:p>
                          </w:tc>
                          <w:tc>
                            <w:tcPr>
                              <w:tcBorders>
                                <w:bottom w:val="single" w:sz="4" w:space="0" w:color="000000"/>
                              </w:tcBorders>
                            </w:tcPr>
                            <w:p>
                              <w:pPr>
                                <w:pStyle w:val="IEEETableText"/>
                                <w:keepNext/>
                                <w:jc w:val="right"/>
                              </w:pPr>
                              <w:r>
                                <w:rPr/>
                                <w:t xml:space="preserve">Impostor pairs (within group)</w:t>
                              </w:r>
                            </w:p>
                          </w:tc>
                          <w:tc>
                            <w:tcPr>
                              <w:tcBorders>
                                <w:bottom w:val="single" w:sz="4" w:space="0" w:color="000000"/>
                              </w:tcBorders>
                            </w:tcPr>
                            <w:p>
                              <w:pPr>
                                <w:pStyle w:val="IEEETableText"/>
                                <w:keepNext/>
                                <w:jc w:val="center"/>
                              </w:pPr>
                              <w:r>
                                <w:rPr/>
                                <w:t xml:space="preserve">FMR (%)</w:t>
                              </w:r>
                            </w:p>
                          </w:tc>
                        </w:tr>
                        <w:tr>
                          <w:trPr>
                            <w:cantSplit/>
                          </w:trPr>
                          <w:tc>
                            <w:tcPr/>
                            <w:p>
                              <w:pPr>
                                <w:pStyle w:val="IEEETableText"/>
                                <w:keepNext/>
                                <w:jc w:val="left"/>
                              </w:pPr>
                              <w:r>
                                <w:rPr/>
                                <w:t xml:space="preserve">Male</w:t>
                              </w:r>
                            </w:p>
                          </w:tc>
                          <w:tc>
                            <w:tcPr/>
                            <w:p>
                              <w:pPr>
                                <w:pStyle w:val="IEEETableText"/>
                                <w:keepNext/>
                                <w:jc w:val="right"/>
                              </w:pPr>
                              <w:r>
                                <w:rPr/>
                                <w:t xml:space="preserve">3,547</w:t>
                              </w:r>
                            </w:p>
                          </w:tc>
                          <w:tc>
                            <w:tcPr/>
                            <w:p>
                              <w:pPr>
                                <w:pStyle w:val="IEEETableText"/>
                                <w:keepNext/>
                                <w:jc w:val="right"/>
                              </w:pPr>
                              <w:r>
                                <w:rPr/>
                                <w:t xml:space="preserve">41,876</w:t>
                              </w:r>
                            </w:p>
                          </w:tc>
                          <w:tc>
                            <w:tcPr/>
                            <w:p>
                              <w:pPr>
                                <w:pStyle w:val="IEEETableText"/>
                                <w:keepNext/>
                                <w:jc w:val="center"/>
                              </w:pPr>
                              <w:r>
                                <w:rPr/>
                                <w:t xml:space="preserve">1.77 (1.6–1.9)</w:t>
                              </w:r>
                            </w:p>
                          </w:tc>
                          <w:tc>
                            <w:tcPr/>
                            <w:p>
                              <w:pPr>
                                <w:pStyle w:val="IEEETableText"/>
                                <w:keepNext/>
                                <w:jc w:val="right"/>
                              </w:pPr>
                              <w:r>
                                <w:rPr/>
                                <w:t xml:space="preserve">1,000,000</w:t>
                              </w:r>
                            </w:p>
                          </w:tc>
                          <w:tc>
                            <w:tcPr/>
                            <w:p>
                              <w:pPr>
                                <w:pStyle w:val="IEEETableText"/>
                                <w:keepNext/>
                                <w:jc w:val="center"/>
                              </w:pPr>
                              <w:r>
                                <w:rPr/>
                                <w:t xml:space="preserve">0.0036 (0.0026–0.0050)</w:t>
                              </w:r>
                            </w:p>
                          </w:tc>
                        </w:tr>
                        <w:tr>
                          <w:trPr>
                            <w:cantSplit/>
                          </w:trPr>
                          <w:tc>
                            <w:tcPr/>
                            <w:p>
                              <w:pPr>
                                <w:pStyle w:val="IEEETableText"/>
                                <w:keepNext/>
                                <w:jc w:val="left"/>
                              </w:pPr>
                              <w:r>
                                <w:rPr/>
                                <w:t xml:space="preserve">Female</w:t>
                              </w:r>
                            </w:p>
                          </w:tc>
                          <w:tc>
                            <w:tcPr/>
                            <w:p>
                              <w:pPr>
                                <w:pStyle w:val="IEEETableText"/>
                                <w:keepNext/>
                                <w:jc w:val="right"/>
                              </w:pPr>
                              <w:r>
                                <w:rPr/>
                                <w:t xml:space="preserve">1,007</w:t>
                              </w:r>
                            </w:p>
                          </w:tc>
                          <w:tc>
                            <w:tcPr/>
                            <w:p>
                              <w:pPr>
                                <w:pStyle w:val="IEEETableText"/>
                                <w:keepNext/>
                                <w:jc w:val="right"/>
                              </w:pPr>
                              <w:r>
                                <w:rPr/>
                                <w:t xml:space="preserve">6,471</w:t>
                              </w:r>
                            </w:p>
                          </w:tc>
                          <w:tc>
                            <w:tcPr/>
                            <w:p>
                              <w:pPr>
                                <w:pStyle w:val="IEEETableText"/>
                                <w:keepNext/>
                                <w:jc w:val="center"/>
                              </w:pPr>
                              <w:r>
                                <w:rPr/>
                                <w:t xml:space="preserve">4.54 (4.1–5.1)</w:t>
                              </w:r>
                            </w:p>
                          </w:tc>
                          <w:tc>
                            <w:tcPr/>
                            <w:p>
                              <w:pPr>
                                <w:pStyle w:val="IEEETableText"/>
                                <w:keepNext/>
                                <w:jc w:val="right"/>
                              </w:pPr>
                              <w:r>
                                <w:rPr/>
                                <w:t xml:space="preserve">1,000,000</w:t>
                              </w:r>
                            </w:p>
                          </w:tc>
                          <w:tc>
                            <w:tcPr/>
                            <w:p>
                              <w:pPr>
                                <w:pStyle w:val="IEEETableText"/>
                                <w:keepNext/>
                                <w:jc w:val="center"/>
                              </w:pPr>
                              <w:r>
                                <w:rPr/>
                                <w:t xml:space="preserve">0.0141 (0.0120–0.0166)</w:t>
                              </w:r>
                            </w:p>
                          </w:tc>
                        </w:tr>
                        <w:tr>
                          <w:trPr>
                            <w:cantSplit/>
                          </w:trPr>
                          <w:tc>
                            <w:tcPr>
                              <w:tcBorders>
                                <w:top w:val="single" w:sz="4" w:space="0" w:color="000000"/>
                              </w:tcBorders>
                            </w:tcPr>
                            <w:p>
                              <w:pPr>
                                <w:pStyle w:val="IEEETableText"/>
                                <w:keepNext/>
                                <w:jc w:val="left"/>
                              </w:pPr>
                              <w:r>
                                <w:rPr/>
                                <w:t xml:space="preserve">White</w:t>
                              </w:r>
                            </w:p>
                          </w:tc>
                          <w:tc>
                            <w:tcPr>
                              <w:tcBorders>
                                <w:top w:val="single" w:sz="4" w:space="0" w:color="000000"/>
                              </w:tcBorders>
                            </w:tcPr>
                            <w:p>
                              <w:pPr>
                                <w:pStyle w:val="IEEETableText"/>
                                <w:keepNext/>
                                <w:jc w:val="right"/>
                              </w:pPr>
                              <w:r>
                                <w:rPr/>
                                <w:t xml:space="preserve">4,088</w:t>
                              </w:r>
                            </w:p>
                          </w:tc>
                          <w:tc>
                            <w:tcPr>
                              <w:tcBorders>
                                <w:top w:val="single" w:sz="4" w:space="0" w:color="000000"/>
                              </w:tcBorders>
                            </w:tcPr>
                            <w:p>
                              <w:pPr>
                                <w:pStyle w:val="IEEETableText"/>
                                <w:keepNext/>
                                <w:jc w:val="right"/>
                              </w:pPr>
                              <w:r>
                                <w:rPr/>
                                <w:t xml:space="preserve">41,687</w:t>
                              </w:r>
                            </w:p>
                          </w:tc>
                          <w:tc>
                            <w:tcPr>
                              <w:tcBorders>
                                <w:top w:val="single" w:sz="4" w:space="0" w:color="000000"/>
                              </w:tcBorders>
                            </w:tcPr>
                            <w:p>
                              <w:pPr>
                                <w:pStyle w:val="IEEETableText"/>
                                <w:keepNext/>
                                <w:jc w:val="center"/>
                              </w:pPr>
                              <w:r>
                                <w:rPr/>
                                <w:t xml:space="preserve">2.72 (2.6–2.9)</w:t>
                              </w:r>
                            </w:p>
                          </w:tc>
                          <w:tc>
                            <w:tcPr>
                              <w:tcBorders>
                                <w:top w:val="single" w:sz="4" w:space="0" w:color="000000"/>
                              </w:tcBorders>
                            </w:tcPr>
                            <w:p>
                              <w:pPr>
                                <w:pStyle w:val="IEEETableText"/>
                                <w:keepNext/>
                                <w:jc w:val="right"/>
                              </w:pPr>
                              <w:r>
                                <w:rPr/>
                                <w:t xml:space="preserve">1,000,000</w:t>
                              </w:r>
                            </w:p>
                          </w:tc>
                          <w:tc>
                            <w:tcPr>
                              <w:tcBorders>
                                <w:top w:val="single" w:sz="4" w:space="0" w:color="000000"/>
                              </w:tcBorders>
                            </w:tcPr>
                            <w:p>
                              <w:pPr>
                                <w:pStyle w:val="IEEETableText"/>
                                <w:keepNext/>
                                <w:jc w:val="center"/>
                              </w:pPr>
                              <w:r>
                                <w:rPr/>
                                <w:t xml:space="preserve">0.0035 (0.0025–0.0049)</w:t>
                              </w:r>
                            </w:p>
                          </w:tc>
                        </w:tr>
                        <w:tr>
                          <w:trPr>
                            <w:cantSplit/>
                          </w:trPr>
                          <w:tc>
                            <w:tcPr/>
                            <w:p>
                              <w:pPr>
                                <w:pStyle w:val="IEEETableText"/>
                                <w:keepNext/>
                                <w:jc w:val="left"/>
                              </w:pPr>
                              <w:r>
                                <w:rPr/>
                                <w:t xml:space="preserve">Black</w:t>
                              </w:r>
                            </w:p>
                          </w:tc>
                          <w:tc>
                            <w:tcPr/>
                            <w:p>
                              <w:pPr>
                                <w:pStyle w:val="IEEETableText"/>
                                <w:keepNext/>
                                <w:jc w:val="right"/>
                              </w:pPr>
                              <w:r>
                                <w:rPr/>
                                <w:t xml:space="preserve">276</w:t>
                              </w:r>
                            </w:p>
                          </w:tc>
                          <w:tc>
                            <w:tcPr/>
                            <w:p>
                              <w:pPr>
                                <w:pStyle w:val="IEEETableText"/>
                                <w:keepNext/>
                                <w:jc w:val="right"/>
                              </w:pPr>
                              <w:r>
                                <w:rPr/>
                                <w:t xml:space="preserve">2,223</w:t>
                              </w:r>
                            </w:p>
                          </w:tc>
                          <w:tc>
                            <w:tcPr/>
                            <w:p>
                              <w:pPr>
                                <w:pStyle w:val="IEEETableText"/>
                                <w:keepNext/>
                                <w:jc w:val="center"/>
                              </w:pPr>
                              <w:r>
                                <w:rPr/>
                                <w:t xml:space="preserve">2.43 (1.9–3.2)</w:t>
                              </w:r>
                            </w:p>
                          </w:tc>
                          <w:tc>
                            <w:tcPr/>
                            <w:p>
                              <w:pPr>
                                <w:pStyle w:val="IEEETableText"/>
                                <w:keepNext/>
                                <w:jc w:val="right"/>
                              </w:pPr>
                              <w:r>
                                <w:rPr/>
                                <w:t xml:space="preserve">128,778</w:t>
                              </w:r>
                            </w:p>
                          </w:tc>
                          <w:tc>
                            <w:tcPr/>
                            <w:p>
                              <w:pPr>
                                <w:pStyle w:val="IEEETableText"/>
                                <w:keepNext/>
                                <w:jc w:val="center"/>
                              </w:pPr>
                              <w:r>
                                <w:rPr/>
                                <w:t xml:space="preserve">0.0870 (0.0723–0.1046)</w:t>
                              </w:r>
                            </w:p>
                          </w:tc>
                        </w:tr>
                        <w:tr>
                          <w:trPr>
                            <w:cantSplit/>
                          </w:trPr>
                          <w:tc>
                            <w:tcPr/>
                            <w:p>
                              <w:pPr>
                                <w:pStyle w:val="IEEETableText"/>
                                <w:keepNext/>
                                <w:jc w:val="left"/>
                              </w:pPr>
                              <w:r>
                                <w:rPr/>
                                <w:t xml:space="preserve">Asian</w:t>
                              </w:r>
                            </w:p>
                          </w:tc>
                          <w:tc>
                            <w:tcPr/>
                            <w:p>
                              <w:pPr>
                                <w:pStyle w:val="IEEETableText"/>
                                <w:keepNext/>
                                <w:jc w:val="right"/>
                              </w:pPr>
                              <w:r>
                                <w:rPr/>
                                <w:t xml:space="preserve">367</w:t>
                              </w:r>
                            </w:p>
                          </w:tc>
                          <w:tc>
                            <w:tcPr/>
                            <w:p>
                              <w:pPr>
                                <w:pStyle w:val="IEEETableText"/>
                                <w:keepNext/>
                                <w:jc w:val="right"/>
                              </w:pPr>
                              <w:r>
                                <w:rPr/>
                                <w:t xml:space="preserve">3,247</w:t>
                              </w:r>
                            </w:p>
                          </w:tc>
                          <w:tc>
                            <w:tcPr/>
                            <w:p>
                              <w:pPr>
                                <w:pStyle w:val="IEEETableText"/>
                                <w:keepNext/>
                                <w:jc w:val="center"/>
                              </w:pPr>
                              <w:r>
                                <w:rPr/>
                                <w:t xml:space="preserve">1.02 (0.7–1.4)</w:t>
                              </w:r>
                            </w:p>
                          </w:tc>
                          <w:tc>
                            <w:tcPr/>
                            <w:p>
                              <w:pPr>
                                <w:pStyle w:val="IEEETableText"/>
                                <w:keepNext/>
                                <w:jc w:val="right"/>
                              </w:pPr>
                              <w:r>
                                <w:rPr/>
                                <w:t xml:space="preserve">282,376</w:t>
                              </w:r>
                            </w:p>
                          </w:tc>
                          <w:tc>
                            <w:tcPr/>
                            <w:p>
                              <w:pPr>
                                <w:pStyle w:val="IEEETableText"/>
                                <w:keepNext/>
                                <w:jc w:val="center"/>
                              </w:pPr>
                              <w:r>
                                <w:rPr/>
                                <w:t xml:space="preserve">0.0312 (0.0253–0.0384)</w:t>
                              </w:r>
                            </w:p>
                          </w:tc>
                        </w:tr>
                        <w:tr>
                          <w:trPr>
                            <w:cantSplit/>
                          </w:trPr>
                          <w:tc>
                            <w:tcPr/>
                            <w:p>
                              <w:pPr>
                                <w:pStyle w:val="IEEETableText"/>
                                <w:keepNext/>
                                <w:jc w:val="left"/>
                              </w:pPr>
                              <w:r>
                                <w:rPr/>
                                <w:t xml:space="preserve">Indian</w:t>
                              </w:r>
                            </w:p>
                          </w:tc>
                          <w:tc>
                            <w:tcPr/>
                            <w:p>
                              <w:pPr>
                                <w:pStyle w:val="IEEETableText"/>
                                <w:keepNext/>
                                <w:jc w:val="right"/>
                              </w:pPr>
                              <w:r>
                                <w:rPr/>
                                <w:t xml:space="preserve">105</w:t>
                              </w:r>
                            </w:p>
                          </w:tc>
                          <w:tc>
                            <w:tcPr/>
                            <w:p>
                              <w:pPr>
                                <w:pStyle w:val="IEEETableText"/>
                                <w:keepNext/>
                                <w:jc w:val="right"/>
                              </w:pPr>
                              <w:r>
                                <w:rPr/>
                                <w:t xml:space="preserve">31</w:t>
                              </w:r>
                            </w:p>
                          </w:tc>
                          <w:tc>
                            <w:tcPr/>
                            <w:p>
                              <w:pPr>
                                <w:pStyle w:val="IEEETableText"/>
                                <w:keepNext/>
                                <w:jc w:val="center"/>
                              </w:pPr>
                              <w:r>
                                <w:rPr/>
                                <w:t xml:space="preserve">0.00 (0.0–11.0)</w:t>
                              </w:r>
                            </w:p>
                          </w:tc>
                          <w:tc>
                            <w:tcPr/>
                            <w:p>
                              <w:pPr>
                                <w:pStyle w:val="IEEETableText"/>
                                <w:keepNext/>
                                <w:jc w:val="right"/>
                              </w:pPr>
                              <w:r>
                                <w:rPr/>
                                <w:t xml:space="preserve">7,875</w:t>
                              </w:r>
                            </w:p>
                          </w:tc>
                          <w:tc>
                            <w:tcPr/>
                            <w:p>
                              <w:pPr>
                                <w:pStyle w:val="IEEETableText"/>
                                <w:keepNext/>
                                <w:jc w:val="center"/>
                              </w:pPr>
                              <w:r>
                                <w:rPr/>
                                <w:t xml:space="preserve">0.0127 (0.0022–0.0719)</w:t>
                              </w:r>
                            </w:p>
                          </w:tc>
                        </w:tr>
                        <w:tr>
                          <w:trPr>
                            <w:cantSplit/>
                          </w:trPr>
                          <w:tc>
                            <w:tcPr>
                              <w:tcBorders>
                                <w:top w:val="single" w:sz="4" w:space="0" w:color="000000"/>
                              </w:tcBorders>
                            </w:tcPr>
                            <w:p>
                              <w:pPr>
                                <w:pStyle w:val="IEEETableText"/>
                                <w:keepNext/>
                                <w:jc w:val="left"/>
                              </w:pPr>
                              <w:r>
                                <w:rPr/>
                                <w:t xml:space="preserve">Youth</w:t>
                              </w:r>
                            </w:p>
                          </w:tc>
                          <w:tc>
                            <w:tcPr>
                              <w:tcBorders>
                                <w:top w:val="single" w:sz="4" w:space="0" w:color="000000"/>
                              </w:tcBorders>
                            </w:tcPr>
                            <w:p>
                              <w:pPr>
                                <w:pStyle w:val="IEEETableText"/>
                                <w:keepNext/>
                                <w:jc w:val="right"/>
                              </w:pPr>
                              <w:r>
                                <w:rPr/>
                                <w:t xml:space="preserve">1,016</w:t>
                              </w:r>
                            </w:p>
                          </w:tc>
                          <w:tc>
                            <w:tcPr>
                              <w:tcBorders>
                                <w:top w:val="single" w:sz="4" w:space="0" w:color="000000"/>
                              </w:tcBorders>
                            </w:tcPr>
                            <w:p>
                              <w:pPr>
                                <w:pStyle w:val="IEEETableText"/>
                                <w:keepNext/>
                                <w:jc w:val="right"/>
                              </w:pPr>
                              <w:r>
                                <w:rPr/>
                                <w:t xml:space="preserve">3,552</w:t>
                              </w:r>
                            </w:p>
                          </w:tc>
                          <w:tc>
                            <w:tcPr>
                              <w:tcBorders>
                                <w:top w:val="single" w:sz="4" w:space="0" w:color="000000"/>
                              </w:tcBorders>
                            </w:tcPr>
                            <w:p>
                              <w:pPr>
                                <w:pStyle w:val="IEEETableText"/>
                                <w:keepNext/>
                                <w:jc w:val="center"/>
                              </w:pPr>
                              <w:r>
                                <w:rPr/>
                                <w:t xml:space="preserve">5.80 (5.1–6.6)</w:t>
                              </w:r>
                            </w:p>
                          </w:tc>
                          <w:tc>
                            <w:tcPr>
                              <w:tcBorders>
                                <w:top w:val="single" w:sz="4" w:space="0" w:color="000000"/>
                              </w:tcBorders>
                            </w:tcPr>
                            <w:p>
                              <w:pPr>
                                <w:pStyle w:val="IEEETableText"/>
                                <w:keepNext/>
                                <w:jc w:val="right"/>
                              </w:pPr>
                              <w:r>
                                <w:rPr/>
                                <w:t xml:space="preserve">1,000,000</w:t>
                              </w:r>
                            </w:p>
                          </w:tc>
                          <w:tc>
                            <w:tcPr>
                              <w:tcBorders>
                                <w:top w:val="single" w:sz="4" w:space="0" w:color="000000"/>
                              </w:tcBorders>
                            </w:tcPr>
                            <w:p>
                              <w:pPr>
                                <w:pStyle w:val="IEEETableText"/>
                                <w:keepNext/>
                                <w:jc w:val="center"/>
                              </w:pPr>
                              <w:r>
                                <w:rPr/>
                                <w:t xml:space="preserve">0.0075 (0.0060–0.0094)</w:t>
                              </w:r>
                            </w:p>
                          </w:tc>
                        </w:tr>
                        <w:tr>
                          <w:trPr>
                            <w:cantSplit/>
                          </w:trPr>
                          <w:tc>
                            <w:tcPr/>
                            <w:p>
                              <w:pPr>
                                <w:pStyle w:val="IEEETableText"/>
                                <w:keepNext/>
                                <w:jc w:val="left"/>
                              </w:pPr>
                              <w:r>
                                <w:rPr/>
                                <w:t xml:space="preserve">Middle-aged</w:t>
                              </w:r>
                            </w:p>
                          </w:tc>
                          <w:tc>
                            <w:tcPr/>
                            <w:p>
                              <w:pPr>
                                <w:pStyle w:val="IEEETableText"/>
                                <w:keepNext/>
                                <w:jc w:val="right"/>
                              </w:pPr>
                              <w:r>
                                <w:rPr/>
                                <w:t xml:space="preserve">670</w:t>
                              </w:r>
                            </w:p>
                          </w:tc>
                          <w:tc>
                            <w:tcPr/>
                            <w:p>
                              <w:pPr>
                                <w:pStyle w:val="IEEETableText"/>
                                <w:keepNext/>
                                <w:jc w:val="right"/>
                              </w:pPr>
                              <w:r>
                                <w:rPr/>
                                <w:t xml:space="preserve">3,499</w:t>
                              </w:r>
                            </w:p>
                          </w:tc>
                          <w:tc>
                            <w:tcPr/>
                            <w:p>
                              <w:pPr>
                                <w:pStyle w:val="IEEETableText"/>
                                <w:keepNext/>
                                <w:jc w:val="center"/>
                              </w:pPr>
                              <w:r>
                                <w:rPr/>
                                <w:t xml:space="preserve">1.83 (1.4–2.3)</w:t>
                              </w:r>
                            </w:p>
                          </w:tc>
                          <w:tc>
                            <w:tcPr/>
                            <w:p>
                              <w:pPr>
                                <w:pStyle w:val="IEEETableText"/>
                                <w:keepNext/>
                                <w:jc w:val="right"/>
                              </w:pPr>
                              <w:r>
                                <w:rPr/>
                                <w:t xml:space="preserve">708,645</w:t>
                              </w:r>
                            </w:p>
                          </w:tc>
                          <w:tc>
                            <w:tcPr/>
                            <w:p>
                              <w:pPr>
                                <w:pStyle w:val="IEEETableText"/>
                                <w:keepNext/>
                                <w:jc w:val="center"/>
                              </w:pPr>
                              <w:r>
                                <w:rPr/>
                                <w:t xml:space="preserve">0.0085 (0.0066–0.0109)</w:t>
                              </w:r>
                            </w:p>
                          </w:tc>
                        </w:tr>
                        <w:tr>
                          <w:trPr>
                            <w:cantSplit/>
                          </w:trPr>
                          <w:tc>
                            <w:tcPr/>
                            <w:p>
                              <w:pPr>
                                <w:pStyle w:val="IEEETableText"/>
                                <w:jc w:val="left"/>
                              </w:pPr>
                              <w:r>
                                <w:rPr/>
                                <w:t xml:space="preserve">Senior</w:t>
                              </w:r>
                            </w:p>
                          </w:tc>
                          <w:tc>
                            <w:tcPr/>
                            <w:p>
                              <w:pPr>
                                <w:pStyle w:val="IEEETableText"/>
                                <w:jc w:val="right"/>
                              </w:pPr>
                              <w:r>
                                <w:rPr/>
                                <w:t xml:space="preserve">734</w:t>
                              </w:r>
                            </w:p>
                          </w:tc>
                          <w:tc>
                            <w:tcPr/>
                            <w:p>
                              <w:pPr>
                                <w:pStyle w:val="IEEETableText"/>
                                <w:jc w:val="right"/>
                              </w:pPr>
                              <w:r>
                                <w:rPr/>
                                <w:t xml:space="preserve">11,013</w:t>
                              </w:r>
                            </w:p>
                          </w:tc>
                          <w:tc>
                            <w:tcPr/>
                            <w:p>
                              <w:pPr>
                                <w:pStyle w:val="IEEETableText"/>
                                <w:jc w:val="center"/>
                              </w:pPr>
                              <w:r>
                                <w:rPr/>
                                <w:t xml:space="preserve">1.67 (1.4–1.9)</w:t>
                              </w:r>
                            </w:p>
                          </w:tc>
                          <w:tc>
                            <w:tcPr/>
                            <w:p>
                              <w:pPr>
                                <w:pStyle w:val="IEEETableText"/>
                                <w:jc w:val="right"/>
                              </w:pPr>
                              <w:r>
                                <w:rPr/>
                                <w:t xml:space="preserve">1,000,000</w:t>
                              </w:r>
                            </w:p>
                          </w:tc>
                          <w:tc>
                            <w:tcPr/>
                            <w:p>
                              <w:pPr>
                                <w:pStyle w:val="IEEETableText"/>
                                <w:jc w:val="center"/>
                              </w:pPr>
                              <w:r>
                                <w:rPr/>
                                <w:t xml:space="preserve">0.0054 (0.0041–0.0070)</w:t>
                              </w:r>
                            </w:p>
                          </w:tc>
                        </w:tr>
                      </w:tbl>
                      <w:p>
                        <w:pPr>
                          <w:pStyle w:val="IEEETableNote"/>
                        </w:pPr>
                        <w:r>
                          <w:t xml:space="preserve">Groups from automatic attribute estimates [34].</w:t>
                        </w:r>
                      </w:p>
                    </w:txbxContent>
                  </wps:txbx>
                  <wps:bodyPr rot="0" vert="horz" wrap="square" lIns="0" tIns="0" rIns="0" bIns="0" anchor="t" anchorCtr="0">
                    <a:spAutoFit/>
                  </wps:bodyPr>
                </wps:wsp>
              </a:graphicData>
            </a:graphic>
          </wp:anchor>
        </w:drawing>
      </w:r>
      <w:r>
        <w:t xml:space="preserve">Table III reports error rates per demographic group at the balanced threshold. The groups come from the automatic attribute classifiers of Kumar</w:t>
      </w:r>
      <w:r>
        <w:t xml:space="preserve"> </w:t>
      </w:r>
      <w:r>
        <w:rPr>
          <w:i/>
          <w:iCs/>
        </w:rPr>
        <w:t xml:space="preserve">et al.</w:t>
      </w:r>
      <w:r>
        <w:t xml:space="preserve"> [34], averaged over each person’s images (5,721 people labeled; people with ambiguous scores are left out of that attribute), and impostor pairs are drawn within each group, the harder and more relevant case [35]. The pipeline is not demographically balanced. Women have a 3.9 times higher false-match rate (FMR) and a 2.6 times higher false-non-match rate (FNMR) than men, and the FMR among people labeled Black is about 25 times that among people labeled White, with people labeled Asian in between. The confidence intervals exclude chance as an explanation; only the group labeled Indian is too small to judge. Such differentials, widely reported for face recognition trained on web data [35], are inherited here from the pretrained network and matter mainly for the guard, because a higher FMR within a group makes it more likely that a stranger is taken for an enrolled person of the same group. A balanced benchmark is needed to confirm the magnitudes, since LFW is dominated by White men and the labels are estimates.</w:t>
      </w:r>
    </w:p>
    <w:bookmarkEnd w:id="30"/>
    <w:bookmarkStart w:id="31" w:name="pose-and-parallax-geometry"/>
    <w:p>
      <w:pPr>
        <w:pStyle w:val="Heading2"/>
      </w:pPr>
      <w:r>
        <w:t xml:space="preserve">Pose and Parallax Geometry</w:t>
      </w:r>
    </w:p>
    <w:p>
      <w:pPr>
        <w:pStyle w:val="FirstParagraph"/>
      </w:pPr>
      <w:r>
        <w:t xml:space="preserve">To examine both cues with known ground-truth rotation, we reconstructed the 478-point meshes described in Section IV, removed the head pose of each photograph by rotation-only Procrustes alignment to the mean shape, scaled each mesh to an eye distance of 63 mm and rendered it with a pinhole camera (</w:t>
      </w:r>
      <m:oMath>
        <m:r>
          <m:t>f</m:t>
        </m:r>
        <m:r>
          <m:rPr>
            <m:sty m:val="p"/>
          </m:rPr>
          <m:t>=</m:t>
        </m:r>
        <m:r>
          <m:t>457</m:t>
        </m:r>
      </m:oMath>
      <w:r>
        <w:t xml:space="preserve"> pixels, i.e. a 640-pixel image with a</w:t>
      </w:r>
      <w:r>
        <w:t xml:space="preserve"> </w:t>
      </w:r>
      <m:oMath>
        <m:sSup>
          <m:e>
            <m:r>
              <m:t>70</m:t>
            </m:r>
          </m:e>
          <m:sup>
            <m:r>
              <m:rPr>
                <m:sty m:val="p"/>
              </m:rPr>
              <m:t>∘</m:t>
            </m:r>
          </m:sup>
        </m:sSup>
      </m:oMath>
      <w:r>
        <w:t xml:space="preserve"> </w:t>
      </w:r>
      <w:r>
        <w:t xml:space="preserve">field of view) at 50 cm, adding 1-pixel noise to the five landmarks. Every face was rendered as a real head turned by</w:t>
      </w:r>
      <w:r>
        <w:t xml:space="preserve"> </w:t>
      </w:r>
      <m:oMath>
        <m:r>
          <m:t>β</m:t>
        </m:r>
      </m:oMath>
      <w:r>
        <w:t xml:space="preserve">, as a flat print and as prints bent into cylinders of radius 60, 40 and 30 mm, all rotated by the same</w:t>
      </w:r>
      <w:r>
        <w:t xml:space="preserve"> </w:t>
      </w:r>
      <m:oMath>
        <m:r>
          <m:t>β</m:t>
        </m:r>
        <m:r>
          <m:rPr>
            <m:sty m:val="p"/>
          </m:rPr>
          <m:t>∈</m:t>
        </m:r>
        <m:r>
          <m:rPr>
            <m:sty m:val="p"/>
          </m:rPr>
          <m:t>[</m:t>
        </m:r>
        <m:r>
          <m:rPr>
            <m:sty m:val="p"/>
          </m:rPr>
          <m:t>−</m:t>
        </m:r>
        <m:sSup>
          <m:e>
            <m:r>
              <m:t>60</m:t>
            </m:r>
          </m:e>
          <m:sup>
            <m:r>
              <m:rPr>
                <m:sty m:val="p"/>
              </m:rPr>
              <m:t>∘</m:t>
            </m:r>
          </m:sup>
        </m:sSup>
        <m:r>
          <m:rPr>
            <m:sty m:val="p"/>
          </m:rPr>
          <m:t>,</m:t>
        </m:r>
        <m:r>
          <m:t> </m:t>
        </m:r>
        <m:sSup>
          <m:e>
            <m:r>
              <m:t>60</m:t>
            </m:r>
          </m:e>
          <m:sup>
            <m:r>
              <m:rPr>
                <m:sty m:val="p"/>
              </m:rPr>
              <m:t>∘</m:t>
            </m:r>
          </m:sup>
        </m:sSup>
        <m:r>
          <m:rPr>
            <m:sty m:val="p"/>
          </m:rPr>
          <m:t>]</m:t>
        </m:r>
      </m:oMath>
      <w:r>
        <w:t xml:space="preserve">. Fitting the head rotations within</w:t>
      </w:r>
      <w:r>
        <w:t xml:space="preserve"> </w:t>
      </w:r>
      <m:oMath>
        <m:r>
          <m:rPr>
            <m:sty m:val="p"/>
          </m:rPr>
          <m:t>±</m:t>
        </m:r>
        <m:sSup>
          <m:e>
            <m:r>
              <m:t>30</m:t>
            </m:r>
          </m:e>
          <m:sup>
            <m:r>
              <m:rPr>
                <m:sty m:val="p"/>
              </m:rPr>
              <m:t>∘</m:t>
            </m:r>
          </m:sup>
        </m:sSup>
      </m:oMath>
      <w:r>
        <w:t xml:space="preserve"> </w:t>
      </w:r>
      <w:r>
        <w:t xml:space="preserve">of the 150 calibration faces gave</w:t>
      </w:r>
      <w:r>
        <w:t xml:space="preserve"> </w:t>
      </w:r>
      <m:oMath>
        <m:r>
          <m:t>K</m:t>
        </m:r>
        <m:r>
          <m:rPr>
            <m:sty m:val="p"/>
          </m:rPr>
          <m:t>=</m:t>
        </m:r>
        <m:r>
          <m:t>0.690</m:t>
        </m:r>
      </m:oMath>
      <w:r>
        <w:t xml:space="preserve"> </w:t>
      </w:r>
      <w:r>
        <w:t xml:space="preserve">and</w:t>
      </w:r>
      <w:r>
        <w:t xml:space="preserve"> </w:t>
      </w:r>
      <m:oMath>
        <m:sSub>
          <m:e>
            <m:r>
              <m:t>K</m:t>
            </m:r>
          </m:e>
          <m:sub>
            <m:r>
              <m:t>p</m:t>
            </m:r>
          </m:sub>
        </m:sSub>
        <m:r>
          <m:rPr>
            <m:sty m:val="p"/>
          </m:rPr>
          <m:t>=</m:t>
        </m:r>
        <m:r>
          <m:t>0.628</m:t>
        </m:r>
      </m:oMath>
      <w:r>
        <w:t xml:space="preserve">; the same fit on the 150 evaluation faces gives 0.689 and 0.627, so the constants do not depend on the faces they were fitted on. On the evaluation faces, a</w:t>
      </w:r>
      <w:r>
        <w:t xml:space="preserve"> </w:t>
      </w:r>
      <m:oMath>
        <m:sSup>
          <m:e>
            <m:r>
              <m:t>25</m:t>
            </m:r>
          </m:e>
          <m:sup>
            <m:r>
              <m:rPr>
                <m:sty m:val="p"/>
              </m:rPr>
              <m:t>∘</m:t>
            </m:r>
          </m:sup>
        </m:sSup>
      </m:oMath>
      <w:r>
        <w:t xml:space="preserve"> </w:t>
      </w:r>
      <w:r>
        <w:t xml:space="preserve">head turn reads</w:t>
      </w:r>
      <w:r>
        <w:t xml:space="preserve"> </w:t>
      </w:r>
      <m:oMath>
        <m:sSup>
          <m:e>
            <m:r>
              <m:t>24.4</m:t>
            </m:r>
          </m:e>
          <m:sup>
            <m:r>
              <m:rPr>
                <m:sty m:val="p"/>
              </m:rPr>
              <m:t>∘</m:t>
            </m:r>
          </m:sup>
        </m:sSup>
      </m:oMath>
      <w:r>
        <w:t xml:space="preserve"> </w:t>
      </w:r>
      <w:r>
        <w:t xml:space="preserve">from the yaw ratio and</w:t>
      </w:r>
      <w:r>
        <w:t xml:space="preserve"> </w:t>
      </w:r>
      <m:oMath>
        <m:sSup>
          <m:e>
            <m:r>
              <m:t>24.5</m:t>
            </m:r>
          </m:e>
          <m:sup>
            <m:r>
              <m:rPr>
                <m:sty m:val="p"/>
              </m:rPr>
              <m:t>∘</m:t>
            </m:r>
          </m:sup>
        </m:sSup>
      </m:oMath>
      <w:r>
        <w:t xml:space="preserve"> </w:t>
      </w:r>
      <w:r>
        <w:t xml:space="preserve">from the parallax (Fig. 2).</w:t>
      </w:r>
    </w:p>
    <w:p>
      <w:pPr>
        <w:pStyle w:val="BodyText"/>
      </w:pPr>
      <w:r>
        <w:t xml:space="preserve">For flat prints the yaw ratio reached 37.8</w:t>
      </w:r>
      <m:oMath>
        <m:sSup>
          <m:e>
            <m:r>
              <m:t>​</m:t>
            </m:r>
          </m:e>
          <m:sup>
            <m:r>
              <m:rPr>
                <m:sty m:val="p"/>
              </m:rPr>
              <m:t>∘</m:t>
            </m:r>
          </m:sup>
        </m:sSup>
      </m:oMath>
      <w:r>
        <w:t xml:space="preserve"> </w:t>
      </w:r>
      <w:r>
        <w:t xml:space="preserve">of apparent yaw change, whereas the parallax never exceeded 12.5</w:t>
      </w:r>
      <m:oMath>
        <m:sSup>
          <m:e>
            <m:r>
              <m:t>​</m:t>
            </m:r>
          </m:e>
          <m:sup>
            <m:r>
              <m:rPr>
                <m:sty m:val="p"/>
              </m:rPr>
              <m:t>∘</m:t>
            </m:r>
          </m:sup>
        </m:sSup>
      </m:oMath>
      <w:r>
        <w:t xml:space="preserve"> </w:t>
      </w:r>
      <w:r>
        <w:t xml:space="preserve">(99th percentile 8.1</w:t>
      </w:r>
      <m:oMath>
        <m:sSup>
          <m:e>
            <m:r>
              <m:t>​</m:t>
            </m:r>
          </m:e>
          <m:sup>
            <m:r>
              <m:rPr>
                <m:sty m:val="p"/>
              </m:rPr>
              <m:t>∘</m:t>
            </m:r>
          </m:sup>
        </m:sSup>
      </m:oMath>
      <w:r>
        <w:t xml:space="preserve">), which is landmark noise below the</w:t>
      </w:r>
      <w:r>
        <w:t xml:space="preserve"> </w:t>
      </w:r>
      <m:oMath>
        <m:sSup>
          <m:e>
            <m:r>
              <m:t>14.4</m:t>
            </m:r>
          </m:e>
          <m:sup>
            <m:r>
              <m:rPr>
                <m:sty m:val="p"/>
              </m:rPr>
              <m:t>∘</m:t>
            </m:r>
          </m:sup>
        </m:sSup>
      </m:oMath>
      <w:r>
        <w:t xml:space="preserve"> </w:t>
      </w:r>
      <w:r>
        <w:t xml:space="preserve">parallax threshold. Bent prints produce some parallax, but far less than heads: at</w:t>
      </w:r>
      <w:r>
        <w:t xml:space="preserve"> </w:t>
      </w:r>
      <m:oMath>
        <m:sSup>
          <m:e>
            <m:r>
              <m:t>25</m:t>
            </m:r>
          </m:e>
          <m:sup>
            <m:r>
              <m:rPr>
                <m:sty m:val="p"/>
              </m:rPr>
              <m:t>∘</m:t>
            </m:r>
          </m:sup>
        </m:sSup>
      </m:oMath>
      <w:r>
        <w:t xml:space="preserve"> </w:t>
      </w:r>
      <w:r>
        <w:t xml:space="preserve">they read 4.6</w:t>
      </w:r>
      <m:oMath>
        <m:sSup>
          <m:e>
            <m:r>
              <m:t>​</m:t>
            </m:r>
          </m:e>
          <m:sup>
            <m:r>
              <m:rPr>
                <m:sty m:val="p"/>
              </m:rPr>
              <m:t>∘</m:t>
            </m:r>
          </m:sup>
        </m:sSup>
      </m:oMath>
      <w:r>
        <w:t xml:space="preserve">, 7.0</w:t>
      </w:r>
      <m:oMath>
        <m:sSup>
          <m:e>
            <m:r>
              <m:t>​</m:t>
            </m:r>
          </m:e>
          <m:sup>
            <m:r>
              <m:rPr>
                <m:sty m:val="p"/>
              </m:rPr>
              <m:t>∘</m:t>
            </m:r>
          </m:sup>
        </m:sSup>
      </m:oMath>
      <w:r>
        <w:t xml:space="preserve"> </w:t>
      </w:r>
      <w:r>
        <w:t xml:space="preserve">and 9.6</w:t>
      </w:r>
      <m:oMath>
        <m:sSup>
          <m:e>
            <m:r>
              <m:t>​</m:t>
            </m:r>
          </m:e>
          <m:sup>
            <m:r>
              <m:rPr>
                <m:sty m:val="p"/>
              </m:rPr>
              <m:t>∘</m:t>
            </m:r>
          </m:sup>
        </m:sSup>
      </m:oMath>
      <w:r>
        <w:t xml:space="preserve"> </w:t>
      </w:r>
      <w:r>
        <w:t xml:space="preserve">for radii of 60, 40 and 30 mm, compared with 24.5</w:t>
      </w:r>
      <m:oMath>
        <m:sSup>
          <m:e>
            <m:r>
              <m:t>​</m:t>
            </m:r>
          </m:e>
          <m:sup>
            <m:r>
              <m:rPr>
                <m:sty m:val="p"/>
              </m:rPr>
              <m:t>∘</m:t>
            </m:r>
          </m:sup>
        </m:sSup>
      </m:oMath>
      <w:r>
        <w:t xml:space="preserve"> </w:t>
      </w:r>
      <w:r>
        <w:t xml:space="preserve">for a head, and they cross the threshold only at extreme angles that also foreshorten the face.</w:t>
      </w:r>
    </w:p>
    <w:bookmarkEnd w:id="31"/>
    <w:bookmarkStart w:id="32" w:name="liveness-evaluation"/>
    <w:p>
      <w:pPr>
        <w:pStyle w:val="Heading2"/>
      </w:pPr>
      <w:r>
        <w:t xml:space="preserve">Liveness Evaluation</w:t>
      </w:r>
    </w:p>
    <w:p>
      <w:pPr>
        <w:pStyle w:val="FirstParagraph"/>
      </w:pPr>
      <w:r>
        <w:t xml:space="preserve">Public attack datasets do not contain free head motion in response to prompts, so we tested the protocol by Monte-Carlo simulation of the production code. Landmarks were rendered at 20 frames per second from the evaluation meshes, with subjects 40–70 cm from the camera and a lateral offset of up to 4 cm, and blink and smile scores were simulated. Simulated users reacted after log-normal delays (median 0.7 s, longer than simple visual reaction times [30] to allow for reading the prompt), turned by</w:t>
      </w:r>
      <w:r>
        <w:t xml:space="preserve"> </w:t>
      </w:r>
      <m:oMath>
        <m:sSup>
          <m:e>
            <m:r>
              <m:t>30</m:t>
            </m:r>
          </m:e>
          <m:sup>
            <m:r>
              <m:rPr>
                <m:sty m:val="p"/>
              </m:rPr>
              <m:t>∘</m:t>
            </m:r>
          </m:sup>
        </m:sSup>
        <m:r>
          <m:rPr>
            <m:sty m:val="p"/>
          </m:rPr>
          <m:t>±</m:t>
        </m:r>
        <m:sSup>
          <m:e>
            <m:r>
              <m:t>8</m:t>
            </m:r>
          </m:e>
          <m:sup>
            <m:r>
              <m:rPr>
                <m:sty m:val="p"/>
              </m:rPr>
              <m:t>∘</m:t>
            </m:r>
          </m:sup>
        </m:sSup>
      </m:oMath>
      <w:r>
        <w:t xml:space="preserve">, turned further or blinked harder when the progress bar stalled, blinked spontaneously and mixed up left and right in 5% of turn prompts. The print attacker tilted the photograph towards the requested side up to a random limit between</w:t>
      </w:r>
      <w:r>
        <w:t xml:space="preserve"> </w:t>
      </w:r>
      <m:oMath>
        <m:sSup>
          <m:e>
            <m:r>
              <m:t>40</m:t>
            </m:r>
          </m:e>
          <m:sup>
            <m:r>
              <m:rPr>
                <m:sty m:val="p"/>
              </m:rPr>
              <m:t>∘</m:t>
            </m:r>
          </m:sup>
        </m:sSup>
      </m:oMath>
      <w:r>
        <w:t xml:space="preserve"> </w:t>
      </w:r>
      <w:r>
        <w:t xml:space="preserve">and</w:t>
      </w:r>
      <w:r>
        <w:t xml:space="preserve"> </w:t>
      </w:r>
      <m:oMath>
        <m:sSup>
          <m:e>
            <m:r>
              <m:t>75</m:t>
            </m:r>
          </m:e>
          <m:sup>
            <m:r>
              <m:rPr>
                <m:sty m:val="p"/>
              </m:rPr>
              <m:t>∘</m:t>
            </m:r>
          </m:sup>
        </m:sSup>
      </m:oMath>
      <w:r>
        <w:t xml:space="preserve">. The replay attacker looped a recording of the owner completing one random sequence, and the universal-replay attacker looped a recording in which the owner cycles through all four actions; ablations used 1,000 live sessions each.</w:t>
      </w:r>
    </w:p>
    <w:p>
      <w:pPr>
        <w:pStyle w:val="BodyText"/>
      </w:pPr>
      <w:r>
        <w:rPr>
          <w:i/>
          <w:iCs/>
        </w:rPr>
        <w:t xml:space="preserve">Comparison with conventional protocols.</w:t>
      </w:r>
      <w:r>
        <w:t xml:space="preserve"> </w:t>
      </w:r>
      <w:r>
        <w:t xml:space="preserve">Table IV evaluates three conventional protocols in the same simulation: three head turns checked with the yaw ratio only, a single blink prompt in the spirit of [23], and three random actions checked with the yaw ratio but without order enforcement or timing. The head-turn protocol accepts every live user but also 49.9% of tilted flat prints and 99.8% of bent prints. Expression prompts stop prints, but all three conventional protocols are vulnerable to replay: a universal recording passes 75.7%–88.8% of their sessions and a recording of one genuine session 21.4%–89.1%. FaceGuard rejects every print and lowers these rates to 15.2% (95% interval 13.5–17.1%) and 8.5% at a BPCER of 1.4%, slightly higher than that of the baselines (0.0–1.0%).</w:t>
      </w:r>
    </w:p>
    <w:p>
      <w:pPr>
        <w:pStyle w:val="IEEETableCaption"/>
      </w:pPr>
      <w:r>
        <w:t xml:space="preserve">TABLE IV</w:t>
        <w:br/>
      </w:r>
      <w:r>
        <w:rPr>
          <w:smallCaps/>
        </w:rPr>
        <w:t xml:space="preserve">Liveness Protocols in One Simulation: BPCER of Live Users and APCER of Attacks (%)</w:t>
      </w:r>
    </w:p>
    <w:tbl>
      <w:tblPr>
        <w:tblW w:w="0" w:type="auto"/>
        <w:jc w:val="center"/>
        <w:tblBorders>
          <w:top w:val="single" w:sz="8" w:space="0" w:color="000000"/>
          <w:left w:val="nil"/>
          <w:bottom w:val="single" w:sz="8" w:space="0" w:color="000000"/>
          <w:right w:val="nil"/>
          <w:insideH w:val="nil"/>
          <w:insideV w:val="nil"/>
        </w:tblBorders>
        <w:tblLayout w:type="autofit"/>
        <w:tblCellMar>
          <w:top w:w="0" w:type="dxa"/>
          <w:left w:w="60" w:type="dxa"/>
          <w:bottom w:w="0" w:type="dxa"/>
          <w:right w:w="60" w:type="dxa"/>
        </w:tblCellMar>
      </w:tblPr>
      <w:tblGrid>
        <w:gridCol w:w="1320"/>
        <w:gridCol w:w="1320"/>
        <w:gridCol w:w="1320"/>
        <w:gridCol w:w="1320"/>
        <w:gridCol w:w="1320"/>
        <w:gridCol w:w="1320"/>
      </w:tblGrid>
      <w:tr>
        <w:trPr>
          <w:cantSplit/>
        </w:trPr>
        <w:tc>
          <w:tcPr/>
          <w:p>
            <w:pPr>
              <w:pStyle w:val="IEEETableText"/>
              <w:keepNext/>
              <w:jc w:val="left"/>
            </w:pPr>
            <w:r>
              <w:rPr/>
              <w:t xml:space="preserve">Protocol</w:t>
            </w:r>
          </w:p>
        </w:tc>
        <w:tc>
          <w:tcPr/>
          <w:p>
            <w:pPr>
              <w:pStyle w:val="IEEETableText"/>
              <w:keepNext/>
              <w:jc w:val="center"/>
            </w:pPr>
            <w:r>
              <w:rPr/>
              <w:t xml:space="preserve">BPCER</w:t>
            </w:r>
          </w:p>
        </w:tc>
        <w:tc>
          <w:tcPr/>
          <w:p>
            <w:pPr>
              <w:pStyle w:val="IEEETableText"/>
              <w:keepNext/>
              <w:jc w:val="center"/>
            </w:pPr>
            <w:r>
              <w:rPr/>
              <w:t xml:space="preserve">Flat</w:t>
            </w:r>
          </w:p>
        </w:tc>
        <w:tc>
          <w:tcPr/>
          <w:p>
            <w:pPr>
              <w:pStyle w:val="IEEETableText"/>
              <w:keepNext/>
              <w:jc w:val="center"/>
            </w:pPr>
            <w:r>
              <w:rPr/>
              <w:t xml:space="preserve">Bent</w:t>
            </w:r>
          </w:p>
        </w:tc>
        <w:tc>
          <w:tcPr/>
          <w:p>
            <w:pPr>
              <w:pStyle w:val="IEEETableText"/>
              <w:keepNext/>
              <w:jc w:val="center"/>
            </w:pPr>
            <w:r>
              <w:rPr/>
              <w:t xml:space="preserve">Replay</w:t>
            </w:r>
          </w:p>
        </w:tc>
        <w:tc>
          <w:tcPr/>
          <w:p>
            <w:pPr>
              <w:pStyle w:val="IEEETableText"/>
              <w:keepNext/>
              <w:jc w:val="center"/>
            </w:pPr>
            <w:r>
              <w:rPr/>
              <w:t xml:space="preserve">Universal</w:t>
            </w:r>
          </w:p>
        </w:tc>
      </w:tr>
      <w:tr>
        <w:trPr>
          <w:cantSplit/>
        </w:trPr>
        <w:tc>
          <w:tcPr>
            <w:tcBorders>
              <w:bottom w:val="single" w:sz="4" w:space="0" w:color="000000"/>
            </w:tcBorders>
          </w:tcPr>
          <w:p>
            <w:pPr>
              <w:pStyle w:val="IEEETableText"/>
              <w:keepNext/>
              <w:jc w:val="left"/>
            </w:pPr>
            <w:r>
              <w:rPr/>
              <w:t xml:space="preserve"/>
            </w:r>
          </w:p>
        </w:tc>
        <w:tc>
          <w:tcPr>
            <w:tcBorders>
              <w:bottom w:val="single" w:sz="4" w:space="0" w:color="000000"/>
            </w:tcBorders>
          </w:tcPr>
          <w:p>
            <w:pPr>
              <w:pStyle w:val="IEEETableText"/>
              <w:keepNext/>
            </w:pPr>
          </w:p>
        </w:tc>
        <w:tc>
          <w:tcPr>
            <w:tcBorders>
              <w:bottom w:val="single" w:sz="4" w:space="0" w:color="000000"/>
            </w:tcBorders>
          </w:tcPr>
          <w:p>
            <w:pPr>
              <w:pStyle w:val="IEEETableText"/>
              <w:keepNext/>
              <w:jc w:val="center"/>
            </w:pPr>
            <w:r>
              <w:rPr/>
              <w:t xml:space="preserve">print</w:t>
            </w:r>
          </w:p>
        </w:tc>
        <w:tc>
          <w:tcPr>
            <w:tcBorders>
              <w:bottom w:val="single" w:sz="4" w:space="0" w:color="000000"/>
            </w:tcBorders>
          </w:tcPr>
          <w:p>
            <w:pPr>
              <w:pStyle w:val="IEEETableText"/>
              <w:keepNext/>
              <w:jc w:val="center"/>
            </w:pPr>
            <m:oMath>
              <m:r>
                <m:t>R</m:t>
              </m:r>
              <m:r>
                <m:rPr>
                  <m:sty m:val="p"/>
                </m:rPr>
                <m:t>=</m:t>
              </m:r>
              <m:r>
                <m:t>40</m:t>
              </m:r>
            </m:oMath>
          </w:p>
        </w:tc>
        <w:tc>
          <w:tcPr>
            <w:tcBorders>
              <w:bottom w:val="single" w:sz="4" w:space="0" w:color="000000"/>
            </w:tcBorders>
          </w:tcPr>
          <w:p>
            <w:pPr>
              <w:pStyle w:val="IEEETableText"/>
              <w:keepNext/>
            </w:pPr>
          </w:p>
        </w:tc>
        <w:tc>
          <w:tcPr>
            <w:tcBorders>
              <w:bottom w:val="single" w:sz="4" w:space="0" w:color="000000"/>
            </w:tcBorders>
          </w:tcPr>
          <w:p>
            <w:pPr>
              <w:pStyle w:val="IEEETableText"/>
              <w:keepNext/>
              <w:jc w:val="center"/>
            </w:pPr>
            <w:r>
              <w:rPr/>
              <w:t xml:space="preserve">replay</w:t>
            </w:r>
          </w:p>
        </w:tc>
      </w:tr>
      <w:tr>
        <w:trPr>
          <w:cantSplit/>
        </w:trPr>
        <w:tc>
          <w:tcPr/>
          <w:p>
            <w:pPr>
              <w:pStyle w:val="IEEETableText"/>
              <w:keepNext/>
              <w:jc w:val="left"/>
            </w:pPr>
            <w:r>
              <w:rPr/>
              <w:t xml:space="preserve">Head turns, yaw ratio only</w:t>
            </w:r>
          </w:p>
        </w:tc>
        <w:tc>
          <w:tcPr/>
          <w:p>
            <w:pPr>
              <w:pStyle w:val="IEEETableText"/>
              <w:keepNext/>
              <w:jc w:val="center"/>
            </w:pPr>
            <w:r>
              <w:rPr/>
              <w:t xml:space="preserve">0.0</w:t>
            </w:r>
          </w:p>
        </w:tc>
        <w:tc>
          <w:tcPr/>
          <w:p>
            <w:pPr>
              <w:pStyle w:val="IEEETableText"/>
              <w:keepNext/>
              <w:jc w:val="center"/>
            </w:pPr>
            <w:r>
              <w:rPr/>
              <w:t xml:space="preserve">49.9</w:t>
            </w:r>
          </w:p>
        </w:tc>
        <w:tc>
          <w:tcPr/>
          <w:p>
            <w:pPr>
              <w:pStyle w:val="IEEETableText"/>
              <w:keepNext/>
              <w:jc w:val="center"/>
            </w:pPr>
            <w:r>
              <w:rPr/>
              <w:t xml:space="preserve">99.8</w:t>
            </w:r>
          </w:p>
        </w:tc>
        <w:tc>
          <w:tcPr/>
          <w:p>
            <w:pPr>
              <w:pStyle w:val="IEEETableText"/>
              <w:keepNext/>
              <w:jc w:val="center"/>
            </w:pPr>
            <w:r>
              <w:rPr/>
              <w:t xml:space="preserve">64.4</w:t>
            </w:r>
          </w:p>
        </w:tc>
        <w:tc>
          <w:tcPr/>
          <w:p>
            <w:pPr>
              <w:pStyle w:val="IEEETableText"/>
              <w:keepNext/>
              <w:jc w:val="center"/>
            </w:pPr>
            <w:r>
              <w:rPr/>
              <w:t xml:space="preserve">88.8</w:t>
            </w:r>
          </w:p>
        </w:tc>
      </w:tr>
      <w:tr>
        <w:trPr>
          <w:cantSplit/>
        </w:trPr>
        <w:tc>
          <w:tcPr/>
          <w:p>
            <w:pPr>
              <w:pStyle w:val="IEEETableText"/>
              <w:keepNext/>
              <w:jc w:val="left"/>
            </w:pPr>
            <w:r>
              <w:rPr/>
              <w:t xml:space="preserve">Single blink prompt</w:t>
            </w:r>
          </w:p>
        </w:tc>
        <w:tc>
          <w:tcPr/>
          <w:p>
            <w:pPr>
              <w:pStyle w:val="IEEETableText"/>
              <w:keepNext/>
              <w:jc w:val="center"/>
            </w:pPr>
            <w:r>
              <w:rPr/>
              <w:t xml:space="preserve">1.0</w:t>
            </w:r>
          </w:p>
        </w:tc>
        <w:tc>
          <w:tcPr/>
          <w:p>
            <w:pPr>
              <w:pStyle w:val="IEEETableText"/>
              <w:keepNext/>
              <w:jc w:val="center"/>
            </w:pPr>
            <w:r>
              <w:rPr/>
              <w:t xml:space="preserve">0.0</w:t>
            </w:r>
          </w:p>
        </w:tc>
        <w:tc>
          <w:tcPr/>
          <w:p>
            <w:pPr>
              <w:pStyle w:val="IEEETableText"/>
              <w:keepNext/>
              <w:jc w:val="center"/>
            </w:pPr>
            <w:r>
              <w:rPr/>
              <w:t xml:space="preserve">0.0</w:t>
            </w:r>
          </w:p>
        </w:tc>
        <w:tc>
          <w:tcPr/>
          <w:p>
            <w:pPr>
              <w:pStyle w:val="IEEETableText"/>
              <w:keepNext/>
              <w:jc w:val="center"/>
            </w:pPr>
            <w:r>
              <w:rPr/>
              <w:t xml:space="preserve">89.1</w:t>
            </w:r>
          </w:p>
        </w:tc>
        <w:tc>
          <w:tcPr/>
          <w:p>
            <w:pPr>
              <w:pStyle w:val="IEEETableText"/>
              <w:keepNext/>
              <w:jc w:val="center"/>
            </w:pPr>
            <w:r>
              <w:rPr/>
              <w:t xml:space="preserve">85.2</w:t>
            </w:r>
          </w:p>
        </w:tc>
      </w:tr>
      <w:tr>
        <w:trPr>
          <w:cantSplit/>
        </w:trPr>
        <w:tc>
          <w:tcPr/>
          <w:p>
            <w:pPr>
              <w:pStyle w:val="IEEETableText"/>
              <w:keepNext/>
              <w:jc w:val="left"/>
            </w:pPr>
            <w:r>
              <w:rPr/>
              <w:t xml:space="preserve">Random actions, yaw ratio</w:t>
            </w:r>
          </w:p>
        </w:tc>
        <w:tc>
          <w:tcPr/>
          <w:p>
            <w:pPr>
              <w:pStyle w:val="IEEETableText"/>
              <w:keepNext/>
              <w:jc w:val="center"/>
            </w:pPr>
            <w:r>
              <w:rPr/>
              <w:t xml:space="preserve">0.4</w:t>
            </w:r>
          </w:p>
        </w:tc>
        <w:tc>
          <w:tcPr/>
          <w:p>
            <w:pPr>
              <w:pStyle w:val="IEEETableText"/>
              <w:keepNext/>
              <w:jc w:val="center"/>
            </w:pPr>
            <w:r>
              <w:rPr/>
              <w:t xml:space="preserve">0.0</w:t>
            </w:r>
          </w:p>
        </w:tc>
        <w:tc>
          <w:tcPr/>
          <w:p>
            <w:pPr>
              <w:pStyle w:val="IEEETableText"/>
              <w:keepNext/>
              <w:jc w:val="center"/>
            </w:pPr>
            <w:r>
              <w:rPr/>
              <w:t xml:space="preserve">0.0</w:t>
            </w:r>
          </w:p>
        </w:tc>
        <w:tc>
          <w:tcPr/>
          <w:p>
            <w:pPr>
              <w:pStyle w:val="IEEETableText"/>
              <w:keepNext/>
              <w:jc w:val="center"/>
            </w:pPr>
            <w:r>
              <w:rPr/>
              <w:t xml:space="preserve">21.4</w:t>
            </w:r>
          </w:p>
        </w:tc>
        <w:tc>
          <w:tcPr/>
          <w:p>
            <w:pPr>
              <w:pStyle w:val="IEEETableText"/>
              <w:keepNext/>
              <w:jc w:val="center"/>
            </w:pPr>
            <w:r>
              <w:rPr/>
              <w:t xml:space="preserve">75.7</w:t>
            </w:r>
          </w:p>
        </w:tc>
      </w:tr>
      <w:tr>
        <w:trPr>
          <w:cantSplit/>
        </w:trPr>
        <w:tc>
          <w:tcPr/>
          <w:p>
            <w:pPr>
              <w:pStyle w:val="IEEETableText"/>
              <w:jc w:val="left"/>
            </w:pPr>
            <w:r>
              <w:rPr/>
              <w:t xml:space="preserve">FaceGuard (full protocol)</w:t>
            </w:r>
          </w:p>
        </w:tc>
        <w:tc>
          <w:tcPr/>
          <w:p>
            <w:pPr>
              <w:pStyle w:val="IEEETableText"/>
              <w:jc w:val="center"/>
            </w:pPr>
            <w:r>
              <w:rPr>
                <w:b/>
                <w:bCs/>
              </w:rPr>
              <w:t xml:space="preserve">1.4</w:t>
            </w:r>
          </w:p>
        </w:tc>
        <w:tc>
          <w:tcPr/>
          <w:p>
            <w:pPr>
              <w:pStyle w:val="IEEETableText"/>
              <w:jc w:val="center"/>
            </w:pPr>
            <w:r>
              <w:rPr>
                <w:b/>
                <w:bCs/>
              </w:rPr>
              <w:t xml:space="preserve">0.0</w:t>
            </w:r>
          </w:p>
        </w:tc>
        <w:tc>
          <w:tcPr/>
          <w:p>
            <w:pPr>
              <w:pStyle w:val="IEEETableText"/>
              <w:jc w:val="center"/>
            </w:pPr>
            <w:r>
              <w:rPr>
                <w:b/>
                <w:bCs/>
              </w:rPr>
              <w:t xml:space="preserve">0.0</w:t>
            </w:r>
          </w:p>
        </w:tc>
        <w:tc>
          <w:tcPr/>
          <w:p>
            <w:pPr>
              <w:pStyle w:val="IEEETableText"/>
              <w:jc w:val="center"/>
            </w:pPr>
            <w:r>
              <w:rPr>
                <w:b/>
                <w:bCs/>
              </w:rPr>
              <w:t xml:space="preserve">8.5</w:t>
            </w:r>
          </w:p>
        </w:tc>
        <w:tc>
          <w:tcPr/>
          <w:p>
            <w:pPr>
              <w:pStyle w:val="IEEETableText"/>
              <w:jc w:val="center"/>
            </w:pPr>
            <w:r>
              <w:rPr>
                <w:b/>
                <w:bCs/>
              </w:rPr>
              <w:t xml:space="preserve">15.2</w:t>
            </w:r>
          </w:p>
        </w:tc>
      </w:tr>
    </w:tbl>
    <w:p>
      <w:pPr>
        <w:pStyle w:val="IEEETableNote"/>
      </w:pPr>
      <w:r>
        <w:t xml:space="preserve">1,000 sessions per baseline cell (FaceGuard: 2,000 live, 1,000 print, 800 replay and 1,500 universal); 95% Wilson half-widths are at most 1.0 (BPCER), 3.2 (replay) and 2.2 (universal) points.</w:t>
      </w:r>
    </w:p>
    <w:p>
      <w:pPr>
        <w:pStyle w:val="BodyText"/>
      </w:pPr>
      <w:r>
        <w:rPr>
          <w:i/>
          <w:iCs/>
        </w:rPr>
        <w:t xml:space="preserve">Prints.</w:t>
      </w:r>
      <w:r>
        <w:t xml:space="preserve"> </w:t>
      </w:r>
      <w:r>
        <w:t xml:space="preserve">No print passed the full protocol (Table V), because a photograph cannot blink, smile or create parallax, and every sequence includes an expression. With zero successes in 1,000 attempts, the APCER of each instrument is below 0.3% at 95% confidence. The turn-only columns isolate the parallax gate: without it, tilted flat prints succeed in 38.7% of sessions through roll leakage, and with it in 0.0%. Bent prints pass turn-only sessions in 64.2%–99.4% of cases because bending produces real parallax, so expression prompts remain necessary.</w:t>
      </w:r>
    </w:p>
    <w:p>
      <w:pPr>
        <w:pStyle w:val="IEEETableCaption"/>
      </w:pPr>
      <w:r>
        <w:t xml:space="preserve">TABLE V</w:t>
        <w:br/>
      </w:r>
      <w:r>
        <w:rPr>
          <w:smallCaps/>
        </w:rPr>
        <w:t xml:space="preserve">Print Attacks: APCER (%) Against an Adaptive Attacker Who Tilts the Print Towards the Requested Side</w:t>
      </w:r>
    </w:p>
    <w:tbl>
      <w:tblPr>
        <w:tblW w:w="0" w:type="auto"/>
        <w:jc w:val="center"/>
        <w:tblBorders>
          <w:top w:val="single" w:sz="8" w:space="0" w:color="000000"/>
          <w:left w:val="nil"/>
          <w:bottom w:val="single" w:sz="8" w:space="0" w:color="000000"/>
          <w:right w:val="nil"/>
          <w:insideH w:val="nil"/>
          <w:insideV w:val="nil"/>
        </w:tblBorders>
        <w:tblLayout w:type="autofit"/>
        <w:tblCellMar>
          <w:top w:w="0" w:type="dxa"/>
          <w:left w:w="60" w:type="dxa"/>
          <w:bottom w:w="0" w:type="dxa"/>
          <w:right w:w="60" w:type="dxa"/>
        </w:tblCellMar>
      </w:tblPr>
      <w:tblGrid>
        <w:gridCol w:w="1980"/>
        <w:gridCol w:w="1980"/>
        <w:gridCol w:w="1980"/>
        <w:gridCol w:w="1980"/>
      </w:tblGrid>
      <w:tr>
        <w:trPr>
          <w:cantSplit/>
        </w:trPr>
        <w:tc>
          <w:tcPr/>
          <w:p>
            <w:pPr>
              <w:pStyle w:val="IEEETableText"/>
              <w:keepNext/>
              <w:jc w:val="left"/>
            </w:pPr>
            <w:r>
              <w:rPr/>
              <w:t xml:space="preserve">Presentation</w:t>
            </w:r>
          </w:p>
        </w:tc>
        <w:tc>
          <w:tcPr/>
          <w:p>
            <w:pPr>
              <w:pStyle w:val="IEEETableText"/>
              <w:keepNext/>
              <w:jc w:val="center"/>
            </w:pPr>
            <w:r>
              <w:rPr/>
              <w:t xml:space="preserve">Full</w:t>
            </w:r>
          </w:p>
        </w:tc>
        <w:tc>
          <w:tcPr>
            <w:gridSpan w:val="2"/>
          </w:tcPr>
          <w:p>
            <w:pPr>
              <w:pStyle w:val="IEEETableText"/>
              <w:keepNext/>
              <w:jc w:val="center"/>
            </w:pPr>
            <w:r>
              <w:rPr/>
              <w:t xml:space="preserve">Turn challenges only</w:t>
            </w:r>
          </w:p>
        </w:tc>
      </w:tr>
      <w:tr>
        <w:trPr>
          <w:cantSplit/>
        </w:trPr>
        <w:tc>
          <w:tcPr>
            <w:tcBorders>
              <w:bottom w:val="single" w:sz="4" w:space="0" w:color="000000"/>
            </w:tcBorders>
          </w:tcPr>
          <w:p>
            <w:pPr>
              <w:pStyle w:val="IEEETableText"/>
              <w:keepNext/>
              <w:jc w:val="left"/>
            </w:pPr>
            <w:r>
              <w:rPr/>
              <w:t xml:space="preserve"/>
            </w:r>
          </w:p>
        </w:tc>
        <w:tc>
          <w:tcPr>
            <w:tcBorders>
              <w:bottom w:val="single" w:sz="4" w:space="0" w:color="000000"/>
            </w:tcBorders>
          </w:tcPr>
          <w:p>
            <w:pPr>
              <w:pStyle w:val="IEEETableText"/>
              <w:keepNext/>
              <w:jc w:val="center"/>
            </w:pPr>
            <w:r>
              <w:rPr/>
              <w:t xml:space="preserve">protocol</w:t>
            </w:r>
          </w:p>
        </w:tc>
        <w:tc>
          <w:tcPr>
            <w:tcBorders>
              <w:bottom w:val="single" w:sz="4" w:space="0" w:color="000000"/>
            </w:tcBorders>
          </w:tcPr>
          <w:p>
            <w:pPr>
              <w:pStyle w:val="IEEETableText"/>
              <w:keepNext/>
              <w:jc w:val="center"/>
            </w:pPr>
            <w:r>
              <w:rPr/>
              <w:t xml:space="preserve">with parallax</w:t>
            </w:r>
          </w:p>
        </w:tc>
        <w:tc>
          <w:tcPr>
            <w:tcBorders>
              <w:bottom w:val="single" w:sz="4" w:space="0" w:color="000000"/>
            </w:tcBorders>
          </w:tcPr>
          <w:p>
            <w:pPr>
              <w:pStyle w:val="IEEETableText"/>
              <w:keepNext/>
              <w:jc w:val="center"/>
            </w:pPr>
            <w:r>
              <w:rPr/>
              <w:t xml:space="preserve">without parallax</w:t>
            </w:r>
          </w:p>
        </w:tc>
      </w:tr>
      <w:tr>
        <w:trPr>
          <w:cantSplit/>
        </w:trPr>
        <w:tc>
          <w:tcPr/>
          <w:p>
            <w:pPr>
              <w:pStyle w:val="IEEETableText"/>
              <w:keepNext/>
              <w:jc w:val="left"/>
            </w:pPr>
            <w:r>
              <w:rPr/>
              <w:t xml:space="preserve">Flat print (tilted up to 75</w:t>
            </w:r>
            <m:oMath>
              <m:sSup>
                <m:e>
                  <m:r>
                    <m:t>​</m:t>
                  </m:r>
                </m:e>
                <m:sup>
                  <m:r>
                    <m:rPr>
                      <m:sty m:val="p"/>
                    </m:rPr>
                    <m:t>∘</m:t>
                  </m:r>
                </m:sup>
              </m:sSup>
            </m:oMath>
            <w:r>
              <w:rPr/>
              <w:t xml:space="preserve">)</w:t>
            </w:r>
          </w:p>
        </w:tc>
        <w:tc>
          <w:tcPr/>
          <w:p>
            <w:pPr>
              <w:pStyle w:val="IEEETableText"/>
              <w:keepNext/>
              <w:jc w:val="center"/>
            </w:pPr>
            <w:r>
              <w:rPr/>
              <w:t xml:space="preserve">0.0</w:t>
            </w:r>
          </w:p>
        </w:tc>
        <w:tc>
          <w:tcPr/>
          <w:p>
            <w:pPr>
              <w:pStyle w:val="IEEETableText"/>
              <w:keepNext/>
              <w:jc w:val="center"/>
            </w:pPr>
            <w:r>
              <w:rPr/>
              <w:t xml:space="preserve">0.0</w:t>
            </w:r>
          </w:p>
        </w:tc>
        <w:tc>
          <w:tcPr/>
          <w:p>
            <w:pPr>
              <w:pStyle w:val="IEEETableText"/>
              <w:keepNext/>
              <w:jc w:val="center"/>
            </w:pPr>
            <w:r>
              <w:rPr/>
              <w:t xml:space="preserve">38.7</w:t>
            </w:r>
          </w:p>
        </w:tc>
      </w:tr>
      <w:tr>
        <w:trPr>
          <w:cantSplit/>
        </w:trPr>
        <w:tc>
          <w:tcPr/>
          <w:p>
            <w:pPr>
              <w:pStyle w:val="IEEETableText"/>
              <w:keepNext/>
              <w:jc w:val="left"/>
            </w:pPr>
            <w:r>
              <w:rPr/>
              <w:t xml:space="preserve">Bent print,</w:t>
            </w:r>
            <w:r>
              <w:rPr/>
              <w:t xml:space="preserve"> </w:t>
            </w:r>
            <m:oMath>
              <m:r>
                <m:t>R</m:t>
              </m:r>
              <m:r>
                <m:rPr>
                  <m:sty m:val="p"/>
                </m:rPr>
                <m:t>=</m:t>
              </m:r>
              <m:r>
                <m:t>60</m:t>
              </m:r>
            </m:oMath>
            <w:r>
              <w:rPr/>
              <w:t xml:space="preserve"> </w:t>
            </w:r>
            <w:r>
              <w:rPr/>
              <w:t xml:space="preserve">mm</w:t>
            </w:r>
          </w:p>
        </w:tc>
        <w:tc>
          <w:tcPr/>
          <w:p>
            <w:pPr>
              <w:pStyle w:val="IEEETableText"/>
              <w:keepNext/>
              <w:jc w:val="center"/>
            </w:pPr>
            <w:r>
              <w:rPr/>
              <w:t xml:space="preserve">0.0</w:t>
            </w:r>
          </w:p>
        </w:tc>
        <w:tc>
          <w:tcPr/>
          <w:p>
            <w:pPr>
              <w:pStyle w:val="IEEETableText"/>
              <w:keepNext/>
              <w:jc w:val="center"/>
            </w:pPr>
            <w:r>
              <w:rPr/>
              <w:t xml:space="preserve">64.2</w:t>
            </w:r>
          </w:p>
        </w:tc>
        <w:tc>
          <w:tcPr/>
          <w:p>
            <w:pPr>
              <w:pStyle w:val="IEEETableText"/>
              <w:keepNext/>
              <w:jc w:val="center"/>
            </w:pPr>
            <w:r>
              <w:rPr/>
              <w:t xml:space="preserve">91.7</w:t>
            </w:r>
          </w:p>
        </w:tc>
      </w:tr>
      <w:tr>
        <w:trPr>
          <w:cantSplit/>
        </w:trPr>
        <w:tc>
          <w:tcPr/>
          <w:p>
            <w:pPr>
              <w:pStyle w:val="IEEETableText"/>
              <w:keepNext/>
              <w:jc w:val="left"/>
            </w:pPr>
            <w:r>
              <w:rPr/>
              <w:t xml:space="preserve">Bent print,</w:t>
            </w:r>
            <w:r>
              <w:rPr/>
              <w:t xml:space="preserve"> </w:t>
            </w:r>
            <m:oMath>
              <m:r>
                <m:t>R</m:t>
              </m:r>
              <m:r>
                <m:rPr>
                  <m:sty m:val="p"/>
                </m:rPr>
                <m:t>=</m:t>
              </m:r>
              <m:r>
                <m:t>40</m:t>
              </m:r>
            </m:oMath>
            <w:r>
              <w:rPr/>
              <w:t xml:space="preserve"> </w:t>
            </w:r>
            <w:r>
              <w:rPr/>
              <w:t xml:space="preserve">mm</w:t>
            </w:r>
          </w:p>
        </w:tc>
        <w:tc>
          <w:tcPr/>
          <w:p>
            <w:pPr>
              <w:pStyle w:val="IEEETableText"/>
              <w:keepNext/>
              <w:jc w:val="center"/>
            </w:pPr>
            <w:r>
              <w:rPr/>
              <w:t xml:space="preserve">0.0</w:t>
            </w:r>
          </w:p>
        </w:tc>
        <w:tc>
          <w:tcPr/>
          <w:p>
            <w:pPr>
              <w:pStyle w:val="IEEETableText"/>
              <w:keepNext/>
              <w:jc w:val="center"/>
            </w:pPr>
            <w:r>
              <w:rPr/>
              <w:t xml:space="preserve">94.6</w:t>
            </w:r>
          </w:p>
        </w:tc>
        <w:tc>
          <w:tcPr/>
          <w:p>
            <w:pPr>
              <w:pStyle w:val="IEEETableText"/>
              <w:keepNext/>
              <w:jc w:val="center"/>
            </w:pPr>
            <w:r>
              <w:rPr/>
              <w:t xml:space="preserve">98.6</w:t>
            </w:r>
          </w:p>
        </w:tc>
      </w:tr>
      <w:tr>
        <w:trPr>
          <w:cantSplit/>
        </w:trPr>
        <w:tc>
          <w:tcPr/>
          <w:p>
            <w:pPr>
              <w:pStyle w:val="IEEETableText"/>
              <w:jc w:val="left"/>
            </w:pPr>
            <w:r>
              <w:rPr/>
              <w:t xml:space="preserve">Bent print,</w:t>
            </w:r>
            <w:r>
              <w:rPr/>
              <w:t xml:space="preserve"> </w:t>
            </w:r>
            <m:oMath>
              <m:r>
                <m:t>R</m:t>
              </m:r>
              <m:r>
                <m:rPr>
                  <m:sty m:val="p"/>
                </m:rPr>
                <m:t>=</m:t>
              </m:r>
              <m:r>
                <m:t>30</m:t>
              </m:r>
            </m:oMath>
            <w:r>
              <w:rPr/>
              <w:t xml:space="preserve"> </w:t>
            </w:r>
            <w:r>
              <w:rPr/>
              <w:t xml:space="preserve">mm</w:t>
            </w:r>
          </w:p>
        </w:tc>
        <w:tc>
          <w:tcPr/>
          <w:p>
            <w:pPr>
              <w:pStyle w:val="IEEETableText"/>
              <w:jc w:val="center"/>
            </w:pPr>
            <w:r>
              <w:rPr/>
              <w:t xml:space="preserve">0.0</w:t>
            </w:r>
          </w:p>
        </w:tc>
        <w:tc>
          <w:tcPr/>
          <w:p>
            <w:pPr>
              <w:pStyle w:val="IEEETableText"/>
              <w:jc w:val="center"/>
            </w:pPr>
            <w:r>
              <w:rPr/>
              <w:t xml:space="preserve">99.4</w:t>
            </w:r>
          </w:p>
        </w:tc>
        <w:tc>
          <w:tcPr/>
          <w:p>
            <w:pPr>
              <w:pStyle w:val="IEEETableText"/>
              <w:jc w:val="center"/>
            </w:pPr>
            <w:r>
              <w:rPr/>
              <w:t xml:space="preserve">96.9</w:t>
            </w:r>
          </w:p>
        </w:tc>
      </w:tr>
    </w:tbl>
    <w:p>
      <w:pPr>
        <w:pStyle w:val="BodyText"/>
        <w:spacing w:before="160"/>
      </w:pPr>
      <w:r>
        <w:rPr>
          <w:i/>
          <w:iCs/>
        </w:rPr>
        <w:t xml:space="preserve">Replay and ablations.</w:t>
      </w:r>
      <w:r>
        <w:t xml:space="preserve"> </w:t>
      </w:r>
      <w:r>
        <w:t xml:space="preserve">Table VI removes one defense at a time. Against a universal replay, either defense alone is effective: the success rate falls from 75.1% with neither to 21.9% with order enforcement only and 22.1% with response timing only, and to 15.2% with both (Fisher exact tests against neither, order enforcement only and timing only:</w:t>
      </w:r>
      <w:r>
        <w:t xml:space="preserve"> </w:t>
      </w:r>
      <m:oMath>
        <m:r>
          <m:t>p</m:t>
        </m:r>
        <m:r>
          <m:rPr>
            <m:sty m:val="p"/>
          </m:rPr>
          <m:t>&lt;</m:t>
        </m:r>
        <m:r>
          <m:t>0.001</m:t>
        </m:r>
      </m:oMath>
      <w:r>
        <w:t xml:space="preserve">,</w:t>
      </w:r>
      <w:r>
        <w:t xml:space="preserve"> </w:t>
      </w:r>
      <m:oMath>
        <m:r>
          <m:t>p</m:t>
        </m:r>
        <m:r>
          <m:rPr>
            <m:sty m:val="p"/>
          </m:rPr>
          <m:t>&lt;</m:t>
        </m:r>
        <m:r>
          <m:t>0.001</m:t>
        </m:r>
      </m:oMath>
      <w:r>
        <w:t xml:space="preserve"> </w:t>
      </w:r>
      <w:r>
        <w:t xml:space="preserve">and</w:t>
      </w:r>
      <w:r>
        <w:t xml:space="preserve"> </w:t>
      </w:r>
      <m:oMath>
        <m:r>
          <m:t>p</m:t>
        </m:r>
        <m:r>
          <m:rPr>
            <m:sty m:val="p"/>
          </m:rPr>
          <m:t>&lt;</m:t>
        </m:r>
        <m:r>
          <m:t>0.001</m:t>
        </m:r>
      </m:oMath>
      <w:r>
        <w:t xml:space="preserve">). Order enforcement also lowers the success of a looped genuine recording from 12.9% to 8.5% (</w:t>
      </w:r>
      <m:oMath>
        <m:r>
          <m:t>p</m:t>
        </m:r>
        <m:r>
          <m:rPr>
            <m:sty m:val="p"/>
          </m:rPr>
          <m:t>=</m:t>
        </m:r>
        <m:r>
          <m:t>0.006</m:t>
        </m:r>
      </m:oMath>
      <w:r>
        <w:t xml:space="preserve">), whereas the smile rule adds little. Shortening the response window to 2.5 s reduces universal replay to 7.9% (</w:t>
      </w:r>
      <m:oMath>
        <m:r>
          <m:t>p</m:t>
        </m:r>
        <m:r>
          <m:rPr>
            <m:sty m:val="p"/>
          </m:rPr>
          <m:t>&lt;</m:t>
        </m:r>
        <m:r>
          <m:t>0.001</m:t>
        </m:r>
      </m:oMath>
      <w:r>
        <w:t xml:space="preserve">) but rejects 2.4% instead of 1.4% of live users. No challenge-response scheme can exclude replay completely, since a recording that happens to show the requested actions at suitable times is effectively a live performance. Three distinct actions out of four give 24 possible sequences (min-entropy 4.55 bits), against only 2 in turn-only mode.</w:t>
      </w:r>
    </w:p>
    <w:p>
      <w:pPr>
        <w:pStyle w:val="IEEETableCaption"/>
      </w:pPr>
      <w:r>
        <w:t xml:space="preserve">TABLE VI</w:t>
        <w:br/>
      </w:r>
      <w:r>
        <w:rPr>
          <w:smallCaps/>
        </w:rPr>
        <w:t xml:space="preserve">Ablation of the Protocol: BPCER of Simulated Live Users and APCER of Replay Attacks (%)</w:t>
      </w:r>
    </w:p>
    <w:tbl>
      <w:tblPr>
        <w:tblW w:w="0" w:type="auto"/>
        <w:jc w:val="center"/>
        <w:tblBorders>
          <w:top w:val="single" w:sz="8" w:space="0" w:color="000000"/>
          <w:left w:val="nil"/>
          <w:bottom w:val="single" w:sz="8" w:space="0" w:color="000000"/>
          <w:right w:val="nil"/>
          <w:insideH w:val="nil"/>
          <w:insideV w:val="nil"/>
        </w:tblBorders>
        <w:tblLayout w:type="autofit"/>
        <w:tblCellMar>
          <w:top w:w="0" w:type="dxa"/>
          <w:left w:w="60" w:type="dxa"/>
          <w:bottom w:w="0" w:type="dxa"/>
          <w:right w:w="60" w:type="dxa"/>
        </w:tblCellMar>
      </w:tblPr>
      <w:tblGrid>
        <w:gridCol w:w="1980"/>
        <w:gridCol w:w="1980"/>
        <w:gridCol w:w="1980"/>
        <w:gridCol w:w="1980"/>
      </w:tblGrid>
      <w:tr>
        <w:trPr>
          <w:cantSplit/>
        </w:trPr>
        <w:tc>
          <w:tcPr/>
          <w:p>
            <w:pPr>
              <w:pStyle w:val="IEEETableText"/>
              <w:keepNext/>
              <w:jc w:val="left"/>
            </w:pPr>
            <w:r>
              <w:rPr/>
              <w:t xml:space="preserve">Configuration</w:t>
            </w:r>
          </w:p>
        </w:tc>
        <w:tc>
          <w:tcPr/>
          <w:p>
            <w:pPr>
              <w:pStyle w:val="IEEETableText"/>
              <w:keepNext/>
              <w:jc w:val="center"/>
            </w:pPr>
            <w:r>
              <w:rPr/>
              <w:t xml:space="preserve">BPCER</w:t>
            </w:r>
          </w:p>
        </w:tc>
        <w:tc>
          <w:tcPr/>
          <w:p>
            <w:pPr>
              <w:pStyle w:val="IEEETableText"/>
              <w:keepNext/>
              <w:jc w:val="center"/>
            </w:pPr>
            <w:r>
              <w:rPr/>
              <w:t xml:space="preserve">Replay of</w:t>
            </w:r>
          </w:p>
        </w:tc>
        <w:tc>
          <w:tcPr/>
          <w:p>
            <w:pPr>
              <w:pStyle w:val="IEEETableText"/>
              <w:keepNext/>
              <w:jc w:val="center"/>
            </w:pPr>
            <w:r>
              <w:rPr/>
              <w:t xml:space="preserve">Universal</w:t>
            </w:r>
          </w:p>
        </w:tc>
      </w:tr>
      <w:tr>
        <w:trPr>
          <w:cantSplit/>
        </w:trPr>
        <w:tc>
          <w:tcPr>
            <w:tcBorders>
              <w:bottom w:val="single" w:sz="4" w:space="0" w:color="000000"/>
            </w:tcBorders>
          </w:tcPr>
          <w:p>
            <w:pPr>
              <w:pStyle w:val="IEEETableText"/>
              <w:keepNext/>
              <w:jc w:val="left"/>
            </w:pPr>
            <w:r>
              <w:rPr/>
              <w:t xml:space="preserve"/>
            </w:r>
          </w:p>
        </w:tc>
        <w:tc>
          <w:tcPr>
            <w:tcBorders>
              <w:bottom w:val="single" w:sz="4" w:space="0" w:color="000000"/>
            </w:tcBorders>
          </w:tcPr>
          <w:p>
            <w:pPr>
              <w:pStyle w:val="IEEETableText"/>
              <w:keepNext/>
              <w:jc w:val="center"/>
            </w:pPr>
            <w:r>
              <w:rPr/>
              <w:t xml:space="preserve">(live users)</w:t>
            </w:r>
          </w:p>
        </w:tc>
        <w:tc>
          <w:tcPr>
            <w:tcBorders>
              <w:bottom w:val="single" w:sz="4" w:space="0" w:color="000000"/>
            </w:tcBorders>
          </w:tcPr>
          <w:p>
            <w:pPr>
              <w:pStyle w:val="IEEETableText"/>
              <w:keepNext/>
              <w:jc w:val="center"/>
            </w:pPr>
            <w:r>
              <w:rPr/>
              <w:t xml:space="preserve">recording</w:t>
            </w:r>
          </w:p>
        </w:tc>
        <w:tc>
          <w:tcPr>
            <w:tcBorders>
              <w:bottom w:val="single" w:sz="4" w:space="0" w:color="000000"/>
            </w:tcBorders>
          </w:tcPr>
          <w:p>
            <w:pPr>
              <w:pStyle w:val="IEEETableText"/>
              <w:keepNext/>
              <w:jc w:val="center"/>
            </w:pPr>
            <w:r>
              <w:rPr/>
              <w:t xml:space="preserve">replay</w:t>
            </w:r>
          </w:p>
        </w:tc>
      </w:tr>
      <w:tr>
        <w:trPr>
          <w:cantSplit/>
        </w:trPr>
        <w:tc>
          <w:tcPr/>
          <w:p>
            <w:pPr>
              <w:pStyle w:val="IEEETableText"/>
              <w:keepNext/>
              <w:jc w:val="left"/>
            </w:pPr>
            <w:r>
              <w:rPr/>
              <w:t xml:space="preserve">Full protocol (</w:t>
            </w:r>
            <m:oMath>
              <m:sSub>
                <m:e>
                  <m:r>
                    <m:t>t</m:t>
                  </m:r>
                </m:e>
                <m:sub>
                  <m:r>
                    <m:rPr>
                      <m:sty m:val="p"/>
                    </m:rPr>
                    <m:t>max</m:t>
                  </m:r>
                </m:sub>
              </m:sSub>
              <m:r>
                <m:rPr>
                  <m:sty m:val="p"/>
                </m:rPr>
                <m:t>=</m:t>
              </m:r>
              <m:r>
                <m:t>3.5</m:t>
              </m:r>
            </m:oMath>
            <w:r>
              <w:rPr/>
              <w:t xml:space="preserve"> s)</w:t>
            </w:r>
          </w:p>
        </w:tc>
        <w:tc>
          <w:tcPr/>
          <w:p>
            <w:pPr>
              <w:pStyle w:val="IEEETableText"/>
              <w:keepNext/>
              <w:jc w:val="center"/>
            </w:pPr>
            <w:r>
              <w:rPr/>
              <w:t xml:space="preserve">1.4</w:t>
            </w:r>
          </w:p>
        </w:tc>
        <w:tc>
          <w:tcPr/>
          <w:p>
            <w:pPr>
              <w:pStyle w:val="IEEETableText"/>
              <w:keepNext/>
              <w:jc w:val="center"/>
            </w:pPr>
            <w:r>
              <w:rPr/>
              <w:t xml:space="preserve">8.5</w:t>
            </w:r>
          </w:p>
        </w:tc>
        <w:tc>
          <w:tcPr/>
          <w:p>
            <w:pPr>
              <w:pStyle w:val="IEEETableText"/>
              <w:keepNext/>
              <w:jc w:val="center"/>
            </w:pPr>
            <w:r>
              <w:rPr/>
              <w:t xml:space="preserve">15.2</w:t>
            </w:r>
          </w:p>
        </w:tc>
      </w:tr>
      <w:tr>
        <w:trPr>
          <w:cantSplit/>
        </w:trPr>
        <w:tc>
          <w:tcPr/>
          <w:p>
            <w:pPr>
              <w:pStyle w:val="IEEETableText"/>
              <w:keepNext/>
              <w:jc w:val="left"/>
            </w:pPr>
            <w:r>
              <w:rPr/>
              <w:t xml:space="preserve"> without response timing</w:t>
            </w:r>
          </w:p>
        </w:tc>
        <w:tc>
          <w:tcPr/>
          <w:p>
            <w:pPr>
              <w:pStyle w:val="IEEETableText"/>
              <w:keepNext/>
              <w:jc w:val="center"/>
            </w:pPr>
            <w:r>
              <w:rPr/>
              <w:t xml:space="preserve">0.0</w:t>
            </w:r>
          </w:p>
        </w:tc>
        <w:tc>
          <w:tcPr/>
          <w:p>
            <w:pPr>
              <w:pStyle w:val="IEEETableText"/>
              <w:keepNext/>
              <w:jc w:val="center"/>
            </w:pPr>
            <w:r>
              <w:rPr/>
              <w:t xml:space="preserve">10.8</w:t>
            </w:r>
          </w:p>
        </w:tc>
        <w:tc>
          <w:tcPr/>
          <w:p>
            <w:pPr>
              <w:pStyle w:val="IEEETableText"/>
              <w:keepNext/>
              <w:jc w:val="center"/>
            </w:pPr>
            <w:r>
              <w:rPr/>
              <w:t xml:space="preserve">21.9</w:t>
            </w:r>
          </w:p>
        </w:tc>
      </w:tr>
      <w:tr>
        <w:trPr>
          <w:cantSplit/>
        </w:trPr>
        <w:tc>
          <w:tcPr/>
          <w:p>
            <w:pPr>
              <w:pStyle w:val="IEEETableText"/>
              <w:keepNext/>
              <w:jc w:val="left"/>
            </w:pPr>
            <w:r>
              <w:rPr/>
              <w:t xml:space="preserve"> without smile rule</w:t>
            </w:r>
          </w:p>
        </w:tc>
        <w:tc>
          <w:tcPr/>
          <w:p>
            <w:pPr>
              <w:pStyle w:val="IEEETableText"/>
              <w:keepNext/>
              <w:jc w:val="center"/>
            </w:pPr>
            <w:r>
              <w:rPr/>
              <w:t xml:space="preserve">1.0</w:t>
            </w:r>
          </w:p>
        </w:tc>
        <w:tc>
          <w:tcPr/>
          <w:p>
            <w:pPr>
              <w:pStyle w:val="IEEETableText"/>
              <w:keepNext/>
              <w:jc w:val="center"/>
            </w:pPr>
            <w:r>
              <w:rPr/>
              <w:t xml:space="preserve">9.6</w:t>
            </w:r>
          </w:p>
        </w:tc>
        <w:tc>
          <w:tcPr/>
          <w:p>
            <w:pPr>
              <w:pStyle w:val="IEEETableText"/>
              <w:keepNext/>
              <w:jc w:val="center"/>
            </w:pPr>
            <w:r>
              <w:rPr/>
              <w:t xml:space="preserve">16.3</w:t>
            </w:r>
          </w:p>
        </w:tc>
      </w:tr>
      <w:tr>
        <w:trPr>
          <w:cantSplit/>
        </w:trPr>
        <w:tc>
          <w:tcPr/>
          <w:p>
            <w:pPr>
              <w:pStyle w:val="IEEETableText"/>
              <w:keepNext/>
              <w:jc w:val="left"/>
            </w:pPr>
            <w:r>
              <w:rPr/>
              <w:t xml:space="preserve"> without order enforcement</w:t>
            </w:r>
          </w:p>
        </w:tc>
        <w:tc>
          <w:tcPr/>
          <w:p>
            <w:pPr>
              <w:pStyle w:val="IEEETableText"/>
              <w:keepNext/>
              <w:jc w:val="center"/>
            </w:pPr>
            <w:r>
              <w:rPr/>
              <w:t xml:space="preserve">0.5</w:t>
            </w:r>
          </w:p>
        </w:tc>
        <w:tc>
          <w:tcPr/>
          <w:p>
            <w:pPr>
              <w:pStyle w:val="IEEETableText"/>
              <w:keepNext/>
              <w:jc w:val="center"/>
            </w:pPr>
            <w:r>
              <w:rPr/>
              <w:t xml:space="preserve">12.9</w:t>
            </w:r>
          </w:p>
        </w:tc>
        <w:tc>
          <w:tcPr/>
          <w:p>
            <w:pPr>
              <w:pStyle w:val="IEEETableText"/>
              <w:keepNext/>
              <w:jc w:val="center"/>
            </w:pPr>
            <w:r>
              <w:rPr/>
              <w:t xml:space="preserve">22.1</w:t>
            </w:r>
          </w:p>
        </w:tc>
      </w:tr>
      <w:tr>
        <w:trPr>
          <w:cantSplit/>
        </w:trPr>
        <w:tc>
          <w:tcPr/>
          <w:p>
            <w:pPr>
              <w:pStyle w:val="IEEETableText"/>
              <w:keepNext/>
              <w:jc w:val="left"/>
            </w:pPr>
            <w:r>
              <w:rPr/>
              <w:t xml:space="preserve"> without order enf. and timing</w:t>
            </w:r>
          </w:p>
        </w:tc>
        <w:tc>
          <w:tcPr/>
          <w:p>
            <w:pPr>
              <w:pStyle w:val="IEEETableText"/>
              <w:keepNext/>
              <w:jc w:val="center"/>
            </w:pPr>
            <w:r>
              <w:rPr/>
              <w:t xml:space="preserve">n.e.</w:t>
            </w:r>
          </w:p>
        </w:tc>
        <w:tc>
          <w:tcPr/>
          <w:p>
            <w:pPr>
              <w:pStyle w:val="IEEETableText"/>
              <w:keepNext/>
              <w:jc w:val="center"/>
            </w:pPr>
            <w:r>
              <w:rPr/>
              <w:t xml:space="preserve">n.e.</w:t>
            </w:r>
          </w:p>
        </w:tc>
        <w:tc>
          <w:tcPr/>
          <w:p>
            <w:pPr>
              <w:pStyle w:val="IEEETableText"/>
              <w:keepNext/>
              <w:jc w:val="center"/>
            </w:pPr>
            <w:r>
              <w:rPr/>
              <w:t xml:space="preserve">75.1</w:t>
            </w:r>
          </w:p>
        </w:tc>
      </w:tr>
      <w:tr>
        <w:trPr>
          <w:cantSplit/>
        </w:trPr>
        <w:tc>
          <w:tcPr/>
          <w:p>
            <w:pPr>
              <w:pStyle w:val="IEEETableText"/>
              <w:keepNext/>
              <w:jc w:val="left"/>
            </w:pPr>
            <w:r>
              <w:rPr/>
              <w:t xml:space="preserve"> without parallax gate</w:t>
            </w:r>
          </w:p>
        </w:tc>
        <w:tc>
          <w:tcPr/>
          <w:p>
            <w:pPr>
              <w:pStyle w:val="IEEETableText"/>
              <w:keepNext/>
              <w:jc w:val="center"/>
            </w:pPr>
            <w:r>
              <w:rPr/>
              <w:t xml:space="preserve">1.4</w:t>
            </w:r>
          </w:p>
        </w:tc>
        <w:tc>
          <w:tcPr/>
          <w:p>
            <w:pPr>
              <w:pStyle w:val="IEEETableText"/>
              <w:keepNext/>
              <w:jc w:val="center"/>
            </w:pPr>
            <w:r>
              <w:rPr/>
              <w:t xml:space="preserve">n.e.</w:t>
            </w:r>
          </w:p>
        </w:tc>
        <w:tc>
          <w:tcPr/>
          <w:p>
            <w:pPr>
              <w:pStyle w:val="IEEETableText"/>
              <w:keepNext/>
              <w:jc w:val="center"/>
            </w:pPr>
            <w:r>
              <w:rPr/>
              <w:t xml:space="preserve">n.e.</w:t>
            </w:r>
          </w:p>
        </w:tc>
      </w:tr>
      <w:tr>
        <w:trPr>
          <w:cantSplit/>
        </w:trPr>
        <w:tc>
          <w:tcPr/>
          <w:p>
            <w:pPr>
              <w:pStyle w:val="IEEETableText"/>
              <w:keepNext/>
              <w:jc w:val="left"/>
            </w:pPr>
            <w:r>
              <w:rPr/>
              <w:t xml:space="preserve"> response window</w:t>
            </w:r>
            <w:r>
              <w:rPr/>
              <w:t xml:space="preserve"> </w:t>
            </w:r>
            <m:oMath>
              <m:sSub>
                <m:e>
                  <m:r>
                    <m:t>t</m:t>
                  </m:r>
                </m:e>
                <m:sub>
                  <m:r>
                    <m:rPr>
                      <m:sty m:val="p"/>
                    </m:rPr>
                    <m:t>max</m:t>
                  </m:r>
                </m:sub>
              </m:sSub>
              <m:r>
                <m:rPr>
                  <m:sty m:val="p"/>
                </m:rPr>
                <m:t>=</m:t>
              </m:r>
              <m:r>
                <m:t>2.5</m:t>
              </m:r>
            </m:oMath>
            <w:r>
              <w:rPr/>
              <w:t xml:space="preserve"> s</w:t>
            </w:r>
          </w:p>
        </w:tc>
        <w:tc>
          <w:tcPr/>
          <w:p>
            <w:pPr>
              <w:pStyle w:val="IEEETableText"/>
              <w:keepNext/>
              <w:jc w:val="center"/>
            </w:pPr>
            <w:r>
              <w:rPr/>
              <w:t xml:space="preserve">2.4</w:t>
            </w:r>
          </w:p>
        </w:tc>
        <w:tc>
          <w:tcPr/>
          <w:p>
            <w:pPr>
              <w:pStyle w:val="IEEETableText"/>
              <w:keepNext/>
              <w:jc w:val="center"/>
            </w:pPr>
            <w:r>
              <w:rPr/>
              <w:t xml:space="preserve">6.1</w:t>
            </w:r>
          </w:p>
        </w:tc>
        <w:tc>
          <w:tcPr/>
          <w:p>
            <w:pPr>
              <w:pStyle w:val="IEEETableText"/>
              <w:keepNext/>
              <w:jc w:val="center"/>
            </w:pPr>
            <w:r>
              <w:rPr/>
              <w:t xml:space="preserve">7.9</w:t>
            </w:r>
          </w:p>
        </w:tc>
      </w:tr>
      <w:tr>
        <w:trPr>
          <w:cantSplit/>
        </w:trPr>
        <w:tc>
          <w:tcPr/>
          <w:p>
            <w:pPr>
              <w:pStyle w:val="IEEETableText"/>
              <w:keepNext/>
              <w:jc w:val="left"/>
            </w:pPr>
            <w:r>
              <w:rPr/>
              <w:t xml:space="preserve"> response window</w:t>
            </w:r>
            <w:r>
              <w:rPr/>
              <w:t xml:space="preserve"> </w:t>
            </w:r>
            <m:oMath>
              <m:sSub>
                <m:e>
                  <m:r>
                    <m:t>t</m:t>
                  </m:r>
                </m:e>
                <m:sub>
                  <m:r>
                    <m:rPr>
                      <m:sty m:val="p"/>
                    </m:rPr>
                    <m:t>max</m:t>
                  </m:r>
                </m:sub>
              </m:sSub>
              <m:r>
                <m:rPr>
                  <m:sty m:val="p"/>
                </m:rPr>
                <m:t>=</m:t>
              </m:r>
              <m:r>
                <m:t>5.0</m:t>
              </m:r>
            </m:oMath>
            <w:r>
              <w:rPr/>
              <w:t xml:space="preserve"> s</w:t>
            </w:r>
          </w:p>
        </w:tc>
        <w:tc>
          <w:tcPr/>
          <w:p>
            <w:pPr>
              <w:pStyle w:val="IEEETableText"/>
              <w:keepNext/>
              <w:jc w:val="center"/>
            </w:pPr>
            <w:r>
              <w:rPr/>
              <w:t xml:space="preserve">0.8</w:t>
            </w:r>
          </w:p>
        </w:tc>
        <w:tc>
          <w:tcPr/>
          <w:p>
            <w:pPr>
              <w:pStyle w:val="IEEETableText"/>
              <w:keepNext/>
              <w:jc w:val="center"/>
            </w:pPr>
            <w:r>
              <w:rPr/>
              <w:t xml:space="preserve">13.0</w:t>
            </w:r>
          </w:p>
        </w:tc>
        <w:tc>
          <w:tcPr/>
          <w:p>
            <w:pPr>
              <w:pStyle w:val="IEEETableText"/>
              <w:keepNext/>
              <w:jc w:val="center"/>
            </w:pPr>
            <w:r>
              <w:rPr/>
              <w:t xml:space="preserve">21.5</w:t>
            </w:r>
          </w:p>
        </w:tc>
      </w:tr>
      <w:tr>
        <w:trPr>
          <w:cantSplit/>
        </w:trPr>
        <w:tc>
          <w:tcPr/>
          <w:p>
            <w:pPr>
              <w:pStyle w:val="IEEETableText"/>
              <w:jc w:val="left"/>
            </w:pPr>
            <w:r>
              <w:rPr/>
              <w:t xml:space="preserve">Turn challenges only</w:t>
            </w:r>
          </w:p>
        </w:tc>
        <w:tc>
          <w:tcPr/>
          <w:p>
            <w:pPr>
              <w:pStyle w:val="IEEETableText"/>
              <w:jc w:val="center"/>
            </w:pPr>
            <w:r>
              <w:rPr/>
              <w:t xml:space="preserve">0.7</w:t>
            </w:r>
          </w:p>
        </w:tc>
        <w:tc>
          <w:tcPr/>
          <w:p>
            <w:pPr>
              <w:pStyle w:val="IEEETableText"/>
              <w:jc w:val="center"/>
            </w:pPr>
            <w:r>
              <w:rPr/>
              <w:t xml:space="preserve">32.8</w:t>
            </w:r>
          </w:p>
        </w:tc>
        <w:tc>
          <w:tcPr/>
          <w:p>
            <w:pPr>
              <w:pStyle w:val="IEEETableText"/>
              <w:jc w:val="center"/>
            </w:pPr>
            <w:r>
              <w:rPr/>
              <w:t xml:space="preserve">n.e.</w:t>
            </w:r>
          </w:p>
        </w:tc>
      </w:tr>
    </w:tbl>
    <w:p>
      <w:pPr>
        <w:pStyle w:val="IEEETableNote"/>
      </w:pPr>
      <w:r>
        <w:t xml:space="preserve">n.e.: not evaluated, because the defense does not act on that attack (parallax gate vs. replays of a real head) or the configuration is covered by Table IV. 95% Wilson half-widths: at most 1.0, 3.2 and 2.2 points for the three columns.</w:t>
      </w:r>
    </w:p>
    <w:p>
      <w:pPr>
        <w:pStyle w:val="BodyText"/>
      </w:pPr>
      <w:r>
        <w:rPr>
          <w:i/>
          <w:iCs/>
        </w:rPr>
        <w:t xml:space="preserve">Live users.</w:t>
      </w:r>
      <w:r>
        <w:t xml:space="preserve"> </w:t>
      </w:r>
      <w:r>
        <w:t xml:space="preserve">Live users were rejected in 1.4% of sessions (95% interval 1.0–2.1%), and a session lasted 4.1 s on average (95th percentile 5.7 s). The parallax gate did not change the BPCER (1.4% without it,</w:t>
      </w:r>
      <w:r>
        <w:t xml:space="preserve"> </w:t>
      </w:r>
      <m:oMath>
        <m:r>
          <m:t>p</m:t>
        </m:r>
        <m:r>
          <m:rPr>
            <m:sty m:val="p"/>
          </m:rPr>
          <m:t>=</m:t>
        </m:r>
        <m:r>
          <m:t>1.00</m:t>
        </m:r>
      </m:oMath>
      <w:r>
        <w:t xml:space="preserve">), but response timing did: without it no live user was rejected (0.0%,</w:t>
      </w:r>
      <w:r>
        <w:t xml:space="preserve"> </w:t>
      </w:r>
      <m:oMath>
        <m:r>
          <m:t>p</m:t>
        </m:r>
        <m:r>
          <m:rPr>
            <m:sty m:val="p"/>
          </m:rPr>
          <m:t>&lt;</m:t>
        </m:r>
        <m:r>
          <m:t>0.001</m:t>
        </m:r>
      </m:oMath>
      <w:r>
        <w:t xml:space="preserve">), so the timing rule, which mainly targets replay, causes most of the remaining false rejections. Varying the behavioral model (Table S4) leaves the BPCER unchanged for median reaction delays of 0.5 and 1.0 s, but it rises to 2.6% for very slow users (1.4 s), 2.1% for timid turns of</w:t>
      </w:r>
      <w:r>
        <w:t xml:space="preserve"> </w:t>
      </w:r>
      <m:oMath>
        <m:sSup>
          <m:e>
            <m:r>
              <m:t>22</m:t>
            </m:r>
          </m:e>
          <m:sup>
            <m:r>
              <m:rPr>
                <m:sty m:val="p"/>
              </m:rPr>
              <m:t>∘</m:t>
            </m:r>
          </m:sup>
        </m:sSup>
      </m:oMath>
      <w:r>
        <w:t xml:space="preserve"> </w:t>
      </w:r>
      <w:r>
        <w:t xml:space="preserve">and 3.2% when left and right are confused in 20% of prompts; with 2-pixel landmark noise it is 1.8% (Fig. S7).</w:t>
      </w:r>
    </w:p>
    <w:bookmarkEnd w:id="32"/>
    <w:bookmarkStart w:id="33" w:name="presence-guard-1"/>
    <w:p>
      <w:pPr>
        <w:pStyle w:val="Heading2"/>
      </w:pPr>
      <w:r>
        <w:t xml:space="preserve">Presence Guard</w:t>
      </w:r>
    </w:p>
    <w:p>
      <w:pPr>
        <w:pStyle w:val="FirstParagraph"/>
      </w:pPr>
      <w:r>
        <w:t xml:space="preserve">The guard was run with the production engine and thresholds on simulated 4-frame-per-second webcam streams, made by pasting LFW photographs into</w:t>
      </w:r>
      <w:r>
        <w:t xml:space="preserve"> </w:t>
      </w:r>
      <m:oMath>
        <m:r>
          <m:t>640</m:t>
        </m:r>
        <m:r>
          <m:rPr>
            <m:sty m:val="p"/>
          </m:rPr>
          <m:t>×</m:t>
        </m:r>
        <m:r>
          <m:t>480</m:t>
        </m:r>
      </m:oMath>
      <w:r>
        <w:t xml:space="preserve"> </w:t>
      </w:r>
      <w:r>
        <w:t xml:space="preserve">frames with random shifts, gain changes and sensor noise. In the</w:t>
      </w:r>
      <w:r>
        <w:t xml:space="preserve"> </w:t>
      </w:r>
      <w:r>
        <w:rPr>
          <w:i/>
          <w:iCs/>
        </w:rPr>
        <w:t xml:space="preserve">owner at the desk</w:t>
      </w:r>
      <w:r>
        <w:t xml:space="preserve"> </w:t>
      </w:r>
      <w:r>
        <w:t xml:space="preserve">scenario, 40 people with at least 20 images were enrolled with 10 images each and then shown their remaining photographs for 1–6 s each, 15 minutes per owner, a harder task than facing a webcam at a fixed desk. The owner was recognized in 99.64% of 144,000 frames (Table S5), and neither a false intruder lock nor a walk-away lock occurred in 10.0 h without typing, which bounds the false-lock rate by 0.30 per hour. The 279 shoulder-surfer alerts were traced to the 14.2% of images in which a second, unknown person at least 40 pixels wide is visible, a common sight in news pictures; they are correct under the rule but show that it flags anyone in view.</w:t>
      </w:r>
    </w:p>
    <w:p>
      <w:pPr>
        <w:pStyle w:val="BodyText"/>
      </w:pPr>
      <w:r>
        <w:t xml:space="preserve">A stranger who sat down 5 s after the owner had left was locked out within 20 s in 97.0% of 300 trials, after a median of 2.75 s (95th percentile 2.75 s), i.e. the 2.5 s confirmation plus the first embeddings. A stranger who replaced the owner without a gap was locked out in 96.3% of trials, with the 95th percentile growing to 3.25 s because of the 3 s rule on authorized faces, and onlookers were reported in 90.0% of 150 trials after a median of 3.25 s. Each miss in the intruder and onlooker trials occurred because the quality gate rejected the photograph or the score fell in the uncertain band; no stranger was ever accepted as the owner. The guard thus trades a few missed strangers for the absence of false locks, the right balance for a tool that must never lock out its owner.</w:t>
      </w:r>
    </w:p>
    <w:bookmarkEnd w:id="33"/>
    <w:bookmarkStart w:id="34" w:name="real-world-pilot"/>
    <w:p>
      <w:pPr>
        <w:pStyle w:val="Heading2"/>
      </w:pPr>
      <w:r>
        <w:t xml:space="preserve">Real-World Pilot</w:t>
      </w:r>
    </w:p>
    <w:p>
      <w:pPr>
        <w:pStyle w:val="FirstParagraph"/>
      </w:pPr>
      <w:r>
        <w:t xml:space="preserve">A first run with the earlier protocol (29 sessions) immediately exposed faults that the simulation had missed: only 7 of the owner’s 14 genuine face-unlock sessions passed. In 3 sessions the identity check rejected the owner, who had turned their head by</w:t>
      </w:r>
      <w:r>
        <w:t xml:space="preserve"> </w:t>
      </w:r>
      <m:oMath>
        <m:sSup>
          <m:e>
            <m:r>
              <m:t>31</m:t>
            </m:r>
          </m:e>
          <m:sup>
            <m:r>
              <m:rPr>
                <m:sty m:val="p"/>
              </m:rPr>
              <m:t>∘</m:t>
            </m:r>
          </m:sup>
        </m:sSup>
      </m:oMath>
      <w:r>
        <w:t xml:space="preserve">–</w:t>
      </w:r>
      <m:oMath>
        <m:sSup>
          <m:e>
            <m:r>
              <m:t>49</m:t>
            </m:r>
          </m:e>
          <m:sup>
            <m:r>
              <m:rPr>
                <m:sty m:val="p"/>
              </m:rPr>
              <m:t>∘</m:t>
            </m:r>
          </m:sup>
        </m:sSup>
      </m:oMath>
      <w:r>
        <w:t xml:space="preserve">, where the embedding of a real face differs from the frontal reference; in 2 sessions natural blinks were missed because, at the 10 frames per second that the webcam delivered at</w:t>
      </w:r>
      <w:r>
        <w:t xml:space="preserve"> </w:t>
      </w:r>
      <m:oMath>
        <m:r>
          <m:t>1280</m:t>
        </m:r>
        <m:r>
          <m:rPr>
            <m:sty m:val="p"/>
          </m:rPr>
          <m:t>×</m:t>
        </m:r>
        <m:r>
          <m:t>720</m:t>
        </m:r>
      </m:oMath>
      <w:r>
        <w:t xml:space="preserve">, a blink was sampled at peak scores of only 0.23–0.39 (the blink thresholds were then 0.45 and 0.25); and in 2 sessions the owner did not start the requested turn within 3.5 s. We corrected the first two faults (identity check within</w:t>
      </w:r>
      <w:r>
        <w:t xml:space="preserve"> </w:t>
      </w:r>
      <m:oMath>
        <m:sSup>
          <m:e>
            <m:r>
              <m:t>20</m:t>
            </m:r>
          </m:e>
          <m:sup>
            <m:r>
              <m:rPr>
                <m:sty m:val="p"/>
              </m:rPr>
              <m:t>∘</m:t>
            </m:r>
          </m:sup>
        </m:sSup>
      </m:oMath>
      <w:r>
        <w:t xml:space="preserve"> </w:t>
      </w:r>
      <w:r>
        <w:t xml:space="preserve">of the baseline pose, blink thresholds 0.30 and 0.20, camera at</w:t>
      </w:r>
      <w:r>
        <w:t xml:space="preserve"> </w:t>
      </w:r>
      <m:oMath>
        <m:r>
          <m:t>640</m:t>
        </m:r>
        <m:r>
          <m:rPr>
            <m:sty m:val="p"/>
          </m:rPr>
          <m:t>×</m:t>
        </m:r>
        <m:r>
          <m:t>480</m:t>
        </m:r>
      </m:oMath>
      <w:r>
        <w:t xml:space="preserve">), kept the response window, re-ran the liveness simulations with the corrected protocol (Section V-F) and repeated the pilot (Table VII).</w:t>
      </w:r>
    </w:p>
    <w:p>
      <w:pPr>
        <w:pStyle w:val="IEEETableCaption"/>
      </w:pPr>
      <w:r>
        <w:t xml:space="preserve">TABLE VII</w:t>
        <w:br/>
      </w:r>
      <w:r>
        <w:rPr>
          <w:smallCaps/>
        </w:rPr>
        <w:t xml:space="preserve">Real-World Pilot With the Laptop Webcam (Corrected Protocol; 95% Wilson Intervals in %)</w:t>
      </w:r>
    </w:p>
    <w:tbl>
      <w:tblPr>
        <w:tblW w:w="0" w:type="auto"/>
        <w:jc w:val="center"/>
        <w:tblBorders>
          <w:top w:val="single" w:sz="8" w:space="0" w:color="000000"/>
          <w:left w:val="nil"/>
          <w:bottom w:val="single" w:sz="8" w:space="0" w:color="000000"/>
          <w:right w:val="nil"/>
          <w:insideH w:val="nil"/>
          <w:insideV w:val="nil"/>
        </w:tblBorders>
        <w:tblLayout w:type="autofit"/>
        <w:tblCellMar>
          <w:top w:w="0" w:type="dxa"/>
          <w:left w:w="60" w:type="dxa"/>
          <w:bottom w:w="0" w:type="dxa"/>
          <w:right w:w="60" w:type="dxa"/>
        </w:tblCellMar>
      </w:tblPr>
      <w:tblGrid>
        <w:gridCol w:w="2640"/>
        <w:gridCol w:w="2640"/>
        <w:gridCol w:w="2640"/>
      </w:tblGrid>
      <w:tr>
        <w:trPr>
          <w:cantSplit/>
          <w:tblHeader w:val="on"/>
        </w:trPr>
        <w:tc>
          <w:tcPr>
            <w:tcBorders>
              <w:bottom w:val="single" w:sz="4" w:space="0" w:color="000000"/>
            </w:tcBorders>
          </w:tcPr>
          <w:p>
            <w:pPr>
              <w:pStyle w:val="IEEETableText"/>
              <w:keepNext/>
              <w:jc w:val="left"/>
            </w:pPr>
            <w:r>
              <w:rPr/>
              <w:t xml:space="preserve">Condition</w:t>
            </w:r>
          </w:p>
        </w:tc>
        <w:tc>
          <w:tcPr>
            <w:tcBorders>
              <w:bottom w:val="single" w:sz="4" w:space="0" w:color="000000"/>
            </w:tcBorders>
          </w:tcPr>
          <w:p>
            <w:pPr>
              <w:pStyle w:val="IEEETableText"/>
              <w:keepNext/>
              <w:jc w:val="center"/>
            </w:pPr>
            <w:r>
              <w:rPr/>
              <w:t xml:space="preserve">Trials</w:t>
            </w:r>
          </w:p>
        </w:tc>
        <w:tc>
          <w:tcPr>
            <w:tcBorders>
              <w:bottom w:val="single" w:sz="4" w:space="0" w:color="000000"/>
            </w:tcBorders>
          </w:tcPr>
          <w:p>
            <w:pPr>
              <w:pStyle w:val="IEEETableText"/>
              <w:keepNext/>
              <w:jc w:val="left"/>
            </w:pPr>
            <w:r>
              <w:rPr/>
              <w:t xml:space="preserve">Outcome</w:t>
            </w:r>
          </w:p>
        </w:tc>
      </w:tr>
      <w:tr>
        <w:trPr>
          <w:cantSplit/>
        </w:trPr>
        <w:tc>
          <w:tcPr/>
          <w:p>
            <w:pPr>
              <w:pStyle w:val="IEEETableText"/>
              <w:keepNext/>
              <w:jc w:val="left"/>
            </w:pPr>
            <w:r>
              <w:rPr/>
              <w:t xml:space="preserve">Owner, full protocol</w:t>
            </w:r>
          </w:p>
        </w:tc>
        <w:tc>
          <w:tcPr/>
          <w:p>
            <w:pPr>
              <w:pStyle w:val="IEEETableText"/>
              <w:keepNext/>
              <w:jc w:val="center"/>
            </w:pPr>
            <w:r>
              <w:rPr/>
              <w:t xml:space="preserve">3</w:t>
            </w:r>
          </w:p>
        </w:tc>
        <w:tc>
          <w:tcPr/>
          <w:p>
            <w:pPr>
              <w:pStyle w:val="IEEETableText"/>
              <w:keepNext/>
              <w:jc w:val="left"/>
            </w:pPr>
            <w:r>
              <w:rPr/>
              <w:t xml:space="preserve">3 passed (100%; 44–100)</w:t>
            </w:r>
          </w:p>
        </w:tc>
      </w:tr>
      <w:tr>
        <w:trPr>
          <w:cantSplit/>
        </w:trPr>
        <w:tc>
          <w:tcPr/>
          <w:p>
            <w:pPr>
              <w:pStyle w:val="IEEETableText"/>
              <w:keepNext/>
              <w:jc w:val="left"/>
            </w:pPr>
            <w:r>
              <w:rPr/>
              <w:t xml:space="preserve">Owner, turns only</w:t>
            </w:r>
          </w:p>
        </w:tc>
        <w:tc>
          <w:tcPr/>
          <w:p>
            <w:pPr>
              <w:pStyle w:val="IEEETableText"/>
              <w:keepNext/>
              <w:jc w:val="center"/>
            </w:pPr>
            <w:r>
              <w:rPr/>
              <w:t xml:space="preserve">3</w:t>
            </w:r>
          </w:p>
        </w:tc>
        <w:tc>
          <w:tcPr/>
          <w:p>
            <w:pPr>
              <w:pStyle w:val="IEEETableText"/>
              <w:keepNext/>
              <w:jc w:val="left"/>
            </w:pPr>
            <w:r>
              <w:rPr/>
              <w:t xml:space="preserve">2 passed (67%; 21–94)</w:t>
            </w:r>
          </w:p>
        </w:tc>
      </w:tr>
      <w:tr>
        <w:trPr>
          <w:cantSplit/>
        </w:trPr>
        <w:tc>
          <w:tcPr/>
          <w:p>
            <w:pPr>
              <w:pStyle w:val="IEEETableText"/>
              <w:keepNext/>
              <w:jc w:val="left"/>
            </w:pPr>
            <w:r>
              <w:rPr/>
              <w:t xml:space="preserve">Volunteer, full protocol (impostor)</w:t>
            </w:r>
          </w:p>
        </w:tc>
        <w:tc>
          <w:tcPr/>
          <w:p>
            <w:pPr>
              <w:pStyle w:val="IEEETableText"/>
              <w:keepNext/>
              <w:jc w:val="center"/>
            </w:pPr>
            <w:r>
              <w:rPr/>
              <w:t xml:space="preserve">3</w:t>
            </w:r>
          </w:p>
        </w:tc>
        <w:tc>
          <w:tcPr/>
          <w:p>
            <w:pPr>
              <w:pStyle w:val="IEEETableText"/>
              <w:keepNext/>
              <w:jc w:val="left"/>
            </w:pPr>
            <w:r>
              <w:rPr/>
              <w:t xml:space="preserve">0 accepted; live in 1 of 3</w:t>
            </w:r>
          </w:p>
        </w:tc>
      </w:tr>
      <w:tr>
        <w:trPr>
          <w:cantSplit/>
        </w:trPr>
        <w:tc>
          <w:tcPr>
            <w:tcBorders>
              <w:top w:val="single" w:sz="4" w:space="0" w:color="000000"/>
            </w:tcBorders>
          </w:tcPr>
          <w:p>
            <w:pPr>
              <w:pStyle w:val="IEEETableText"/>
              <w:keepNext/>
              <w:jc w:val="left"/>
            </w:pPr>
            <w:r>
              <w:rPr/>
              <w:t xml:space="preserve">Phone photo vs. full protocol</w:t>
            </w:r>
          </w:p>
        </w:tc>
        <w:tc>
          <w:tcPr>
            <w:tcBorders>
              <w:top w:val="single" w:sz="4" w:space="0" w:color="000000"/>
            </w:tcBorders>
          </w:tcPr>
          <w:p>
            <w:pPr>
              <w:pStyle w:val="IEEETableText"/>
              <w:keepNext/>
              <w:jc w:val="center"/>
            </w:pPr>
            <w:r>
              <w:rPr/>
              <w:t xml:space="preserve">10</w:t>
            </w:r>
          </w:p>
        </w:tc>
        <w:tc>
          <w:tcPr>
            <w:tcBorders>
              <w:top w:val="single" w:sz="4" w:space="0" w:color="000000"/>
            </w:tcBorders>
          </w:tcPr>
          <w:p>
            <w:pPr>
              <w:pStyle w:val="IEEETableText"/>
              <w:keepNext/>
              <w:jc w:val="left"/>
            </w:pPr>
            <w:r>
              <w:rPr/>
              <w:t xml:space="preserve">0 accepted (0%; 0–28)</w:t>
            </w:r>
          </w:p>
        </w:tc>
      </w:tr>
      <w:tr>
        <w:trPr>
          <w:cantSplit/>
        </w:trPr>
        <w:tc>
          <w:tcPr/>
          <w:p>
            <w:pPr>
              <w:pStyle w:val="IEEETableText"/>
              <w:keepNext/>
              <w:jc w:val="left"/>
            </w:pPr>
            <w:r>
              <w:rPr/>
              <w:t xml:space="preserve">Phone photo vs. turns, parallax gate</w:t>
            </w:r>
          </w:p>
        </w:tc>
        <w:tc>
          <w:tcPr/>
          <w:p>
            <w:pPr>
              <w:pStyle w:val="IEEETableText"/>
              <w:keepNext/>
              <w:jc w:val="center"/>
            </w:pPr>
            <w:r>
              <w:rPr/>
              <w:t xml:space="preserve">3</w:t>
            </w:r>
          </w:p>
        </w:tc>
        <w:tc>
          <w:tcPr/>
          <w:p>
            <w:pPr>
              <w:pStyle w:val="IEEETableText"/>
              <w:keepNext/>
              <w:jc w:val="left"/>
            </w:pPr>
            <w:r>
              <w:rPr/>
              <w:t xml:space="preserve">0 accepted (0%; 0–56)</w:t>
            </w:r>
          </w:p>
        </w:tc>
      </w:tr>
      <w:tr>
        <w:trPr>
          <w:cantSplit/>
        </w:trPr>
        <w:tc>
          <w:tcPr/>
          <w:p>
            <w:pPr>
              <w:pStyle w:val="IEEETableText"/>
              <w:keepNext/>
              <w:jc w:val="left"/>
            </w:pPr>
            <w:r>
              <w:rPr/>
              <w:t xml:space="preserve">Phone photo vs. turns, no gate</w:t>
            </w:r>
          </w:p>
        </w:tc>
        <w:tc>
          <w:tcPr/>
          <w:p>
            <w:pPr>
              <w:pStyle w:val="IEEETableText"/>
              <w:keepNext/>
              <w:jc w:val="center"/>
            </w:pPr>
            <w:r>
              <w:rPr/>
              <w:t xml:space="preserve">2</w:t>
            </w:r>
          </w:p>
        </w:tc>
        <w:tc>
          <w:tcPr/>
          <w:p>
            <w:pPr>
              <w:pStyle w:val="IEEETableText"/>
              <w:keepNext/>
              <w:jc w:val="left"/>
            </w:pPr>
            <w:r>
              <w:rPr/>
              <w:t xml:space="preserve">0 accepted (0%; 0–66)</w:t>
            </w:r>
          </w:p>
        </w:tc>
      </w:tr>
      <w:tr>
        <w:trPr>
          <w:cantSplit/>
        </w:trPr>
        <w:tc>
          <w:tcPr>
            <w:tcBorders>
              <w:top w:val="single" w:sz="4" w:space="0" w:color="000000"/>
            </w:tcBorders>
          </w:tcPr>
          <w:p>
            <w:pPr>
              <w:pStyle w:val="IEEETableText"/>
              <w:keepNext/>
              <w:jc w:val="left"/>
            </w:pPr>
            <w:r>
              <w:rPr/>
              <w:t xml:space="preserve">Owner at desk (70 s)</w:t>
            </w:r>
          </w:p>
        </w:tc>
        <w:tc>
          <w:tcPr>
            <w:tcBorders>
              <w:top w:val="single" w:sz="4" w:space="0" w:color="000000"/>
            </w:tcBorders>
          </w:tcPr>
          <w:p>
            <w:pPr>
              <w:pStyle w:val="IEEETableText"/>
              <w:keepNext/>
              <w:jc w:val="center"/>
            </w:pPr>
            <w:r>
              <w:rPr/>
              <w:t xml:space="preserve">1</w:t>
            </w:r>
          </w:p>
        </w:tc>
        <w:tc>
          <w:tcPr>
            <w:tcBorders>
              <w:top w:val="single" w:sz="4" w:space="0" w:color="000000"/>
            </w:tcBorders>
          </w:tcPr>
          <w:p>
            <w:pPr>
              <w:pStyle w:val="IEEETableText"/>
              <w:keepNext/>
              <w:jc w:val="left"/>
            </w:pPr>
            <w:r>
              <w:rPr/>
              <w:t xml:space="preserve">0 false locks, 0 alerts</w:t>
            </w:r>
          </w:p>
        </w:tc>
      </w:tr>
      <w:tr>
        <w:trPr>
          <w:cantSplit/>
        </w:trPr>
        <w:tc>
          <w:tcPr/>
          <w:p>
            <w:pPr>
              <w:pStyle w:val="IEEETableText"/>
              <w:keepNext/>
              <w:jc w:val="left"/>
            </w:pPr>
            <w:r>
              <w:rPr/>
              <w:t xml:space="preserve">Walk-away lock</w:t>
            </w:r>
          </w:p>
        </w:tc>
        <w:tc>
          <w:tcPr/>
          <w:p>
            <w:pPr>
              <w:pStyle w:val="IEEETableText"/>
              <w:keepNext/>
              <w:jc w:val="center"/>
            </w:pPr>
            <w:r>
              <w:rPr/>
              <w:t xml:space="preserve">1</w:t>
            </w:r>
          </w:p>
        </w:tc>
        <w:tc>
          <w:tcPr/>
          <w:p>
            <w:pPr>
              <w:pStyle w:val="IEEETableText"/>
              <w:keepNext/>
              <w:jc w:val="left"/>
            </w:pPr>
            <w:r>
              <w:rPr/>
              <w:t xml:space="preserve">1 of 1, 27.9 s after the cue</w:t>
            </w:r>
          </w:p>
        </w:tc>
      </w:tr>
      <w:tr>
        <w:trPr>
          <w:cantSplit/>
        </w:trPr>
        <w:tc>
          <w:tcPr/>
          <w:p>
            <w:pPr>
              <w:pStyle w:val="IEEETableText"/>
              <w:keepNext/>
              <w:jc w:val="left"/>
            </w:pPr>
            <w:r>
              <w:rPr/>
              <w:t xml:space="preserve">Stranger sits down: lock</w:t>
            </w:r>
          </w:p>
        </w:tc>
        <w:tc>
          <w:tcPr/>
          <w:p>
            <w:pPr>
              <w:pStyle w:val="IEEETableText"/>
              <w:keepNext/>
              <w:jc w:val="center"/>
            </w:pPr>
            <w:r>
              <w:rPr/>
              <w:t xml:space="preserve">1</w:t>
            </w:r>
          </w:p>
        </w:tc>
        <w:tc>
          <w:tcPr/>
          <w:p>
            <w:pPr>
              <w:pStyle w:val="IEEETableText"/>
              <w:keepNext/>
              <w:jc w:val="left"/>
            </w:pPr>
            <w:r>
              <w:rPr/>
              <w:t xml:space="preserve">1 of 1, 21.0 s after the cue</w:t>
            </w:r>
          </w:p>
        </w:tc>
      </w:tr>
      <w:tr>
        <w:trPr>
          <w:cantSplit/>
        </w:trPr>
        <w:tc>
          <w:tcPr/>
          <w:p>
            <w:pPr>
              <w:pStyle w:val="IEEETableText"/>
              <w:keepNext/>
              <w:jc w:val="left"/>
            </w:pPr>
            <w:r>
              <w:rPr/>
              <w:t xml:space="preserve">Shoulder-surfer: alert</w:t>
            </w:r>
          </w:p>
        </w:tc>
        <w:tc>
          <w:tcPr/>
          <w:p>
            <w:pPr>
              <w:pStyle w:val="IEEETableText"/>
              <w:keepNext/>
              <w:jc w:val="center"/>
            </w:pPr>
            <w:r>
              <w:rPr/>
              <w:t xml:space="preserve">1</w:t>
            </w:r>
          </w:p>
        </w:tc>
        <w:tc>
          <w:tcPr/>
          <w:p>
            <w:pPr>
              <w:pStyle w:val="IEEETableText"/>
              <w:keepNext/>
              <w:jc w:val="left"/>
            </w:pPr>
            <w:r>
              <w:rPr/>
              <w:t xml:space="preserve">1 of 1, 2.3 s after the cue</w:t>
            </w:r>
          </w:p>
        </w:tc>
      </w:tr>
      <w:tr>
        <w:trPr>
          <w:cantSplit/>
        </w:trPr>
        <w:tc>
          <w:tcPr/>
          <w:p>
            <w:pPr>
              <w:pStyle w:val="IEEETableText"/>
              <w:jc w:val="left"/>
            </w:pPr>
            <w:r>
              <w:rPr/>
              <w:t xml:space="preserve">Locked PC: photograph</w:t>
            </w:r>
          </w:p>
        </w:tc>
        <w:tc>
          <w:tcPr/>
          <w:p>
            <w:pPr>
              <w:pStyle w:val="IEEETableText"/>
              <w:jc w:val="center"/>
            </w:pPr>
            <w:r>
              <w:rPr/>
              <w:t xml:space="preserve">1</w:t>
            </w:r>
          </w:p>
        </w:tc>
        <w:tc>
          <w:tcPr/>
          <w:p>
            <w:pPr>
              <w:pStyle w:val="IEEETableText"/>
              <w:jc w:val="left"/>
            </w:pPr>
            <w:r>
              <w:rPr/>
              <w:t xml:space="preserve">1 of 1, 11.6 s after the cue</w:t>
            </w:r>
          </w:p>
        </w:tc>
      </w:tr>
    </w:tbl>
    <w:p>
      <w:pPr>
        <w:pStyle w:val="IEEETableNote"/>
      </w:pPr>
      <w:r>
        <w:t xml:space="preserve">Guard in log-only mode with the production thresholds. Cue: the owner leaves (walk-away, stranger, locked PC) or the volunteer steps behind the owner (shoulder-surfer).</w:t>
      </w:r>
    </w:p>
    <w:p>
      <w:pPr>
        <w:pStyle w:val="BodyText"/>
      </w:pPr>
      <w:r>
        <w:t xml:space="preserve">The owner passed 5 of 6 live sessions at about 21 frames per second with a genuine similarity of about 0.73; the one failure was again a late response. The volunteer was never accepted as the owner (similarity 0.28) but passed the liveness check in only 1 of 3 sessions, failing twice by turning the wrong way, so first-time users can confuse left and right in a mirrored preview and need a clearer cue, such as an arrow. None of the 15 phone-screen attacks was accepted (95% upper bound 20%). By tilting the phone, however, the attacker produced at most 12.6</w:t>
      </w:r>
      <m:oMath>
        <m:sSup>
          <m:e>
            <m:r>
              <m:t>​</m:t>
            </m:r>
          </m:e>
          <m:sup>
            <m:r>
              <m:rPr>
                <m:sty m:val="p"/>
              </m:rPr>
              <m:t>∘</m:t>
            </m:r>
          </m:sup>
        </m:sSup>
      </m:oMath>
      <w:r>
        <w:t xml:space="preserve"> </w:t>
      </w:r>
      <w:r>
        <w:t xml:space="preserve">of apparent yaw change and 14.0</w:t>
      </w:r>
      <m:oMath>
        <m:sSup>
          <m:e>
            <m:r>
              <m:t>​</m:t>
            </m:r>
          </m:e>
          <m:sup>
            <m:r>
              <m:rPr>
                <m:sty m:val="p"/>
              </m:rPr>
              <m:t>∘</m:t>
            </m:r>
          </m:sup>
        </m:sSup>
      </m:oMath>
      <w:r>
        <w:t xml:space="preserve"> </w:t>
      </w:r>
      <w:r>
        <w:t xml:space="preserve">of parallax, against a median parallax of 27</w:t>
      </w:r>
      <m:oMath>
        <m:sSup>
          <m:e>
            <m:r>
              <m:t>​</m:t>
            </m:r>
          </m:e>
          <m:sup>
            <m:r>
              <m:rPr>
                <m:sty m:val="p"/>
              </m:rPr>
              <m:t>∘</m:t>
            </m:r>
          </m:sup>
        </m:sSup>
      </m:oMath>
      <w:r>
        <w:t xml:space="preserve"> </w:t>
      </w:r>
      <w:r>
        <w:t xml:space="preserve">for genuine turns; the attacks failed before the parallax gate became decisive, and the strongly tilted print of Section V-E remains to be reproduced physically. The guard locked the PC 27.9 s after the owner walked away, alerted to the onlooker 2.3 s after the cue and photographed the volunteer at the locked PC 11.6 s after the owner left. A stranger who sat down was locked out 13.9 s after first being detected, much later than in the simulation, because the volunteer’s live scores repeatedly fell into the uncertain band between 0.30 and 0.45, which interrupts the 2.5 s confirmation of an unknown face. These few trials demonstrate feasibility and expose failure modes, but they cannot support rate estimates.</w:t>
      </w:r>
    </w:p>
    <w:bookmarkEnd w:id="34"/>
    <w:bookmarkStart w:id="35" w:name="runtime"/>
    <w:p>
      <w:pPr>
        <w:pStyle w:val="Heading2"/>
      </w:pPr>
      <w:r>
        <w:t xml:space="preserve">Runtime</w:t>
      </w:r>
    </w:p>
    <w:p>
      <w:pPr>
        <w:pStyle w:val="FirstParagraph"/>
      </w:pPr>
      <w:r>
        <w:t xml:space="preserve">At the default</w:t>
      </w:r>
      <w:r>
        <w:t xml:space="preserve"> </w:t>
      </w:r>
      <m:oMath>
        <m:r>
          <m:t>640</m:t>
        </m:r>
        <m:r>
          <m:rPr>
            <m:sty m:val="p"/>
          </m:rPr>
          <m:t>×</m:t>
        </m:r>
        <m:r>
          <m:t>480</m:t>
        </m:r>
      </m:oMath>
      <w:r>
        <w:t xml:space="preserve"> </w:t>
      </w:r>
      <w:r>
        <w:t xml:space="preserve">resolution, detection takes 12.1 ms and one embedding 9.3 ms, or 18.5 ms with mirroring (Fig. S8). A frame of the complete pipeline costs 12.5 ms on average and 23.5 ms with the face mesh. The live view ran at 29.0 frames per second with a total CPU load of 19.4%, and the background guard used 5.1%. The ArcFace MobileFaceNet would also be the fastest embedding (Table I) where its license permits.</w:t>
      </w:r>
    </w:p>
    <w:bookmarkEnd w:id="35"/>
    <w:bookmarkStart w:id="36" w:name="discussion-and-limitations"/>
    <w:p>
      <w:pPr>
        <w:pStyle w:val="Heading2"/>
      </w:pPr>
      <w:r>
        <w:t xml:space="preserve">Discussion and Limitations</w:t>
      </w:r>
    </w:p>
    <w:p>
      <w:pPr>
        <w:pStyle w:val="FirstParagraph"/>
      </w:pPr>
      <w:r>
        <w:rPr>
          <w:i/>
          <w:iCs/>
        </w:rPr>
        <w:t xml:space="preserve">Security position.</w:t>
      </w:r>
      <w:r>
        <w:t xml:space="preserve"> </w:t>
      </w:r>
      <w:r>
        <w:t xml:space="preserve">FaceGuard only adds protection: a false reject locks a present owner, who then enters the PIN, and a false accept prevents a lock, leaving the OS as it would have been without FaceGuard. The safety valves prevent lock-out loops, and encrypted templates without stored video limit the privacy exposure.</w:t>
      </w:r>
    </w:p>
    <w:p>
      <w:pPr>
        <w:pStyle w:val="BodyText"/>
      </w:pPr>
      <w:r>
        <w:rPr>
          <w:i/>
          <w:iCs/>
        </w:rPr>
        <w:t xml:space="preserve">Liveness.</w:t>
      </w:r>
      <w:r>
        <w:t xml:space="preserve"> </w:t>
      </w:r>
      <w:r>
        <w:t xml:space="preserve">The parallax gate removes the tilted-print weakness of the yaw ratio, and order enforcement with response timing makes universal replay several times less successful than in conventional protocols. RGB-only challenge-response still cannot stop a replay that happens to match the prompts, bent prints in turn-only mode, 3-D masks or injected video, so sensitive resources should add IR or depth sensing or a passive learned detector (Section II). Proposition 1 assumes an ideal pinhole camera; the radial distortion of wide-angle webcams adds a small parallax to flat prints, which the threshold must absorb or a calibrated undistortion step would remove.</w:t>
      </w:r>
    </w:p>
    <w:p>
      <w:pPr>
        <w:pStyle w:val="BodyText"/>
      </w:pPr>
      <w:r>
        <w:rPr>
          <w:i/>
          <w:iCs/>
        </w:rPr>
        <w:t xml:space="preserve">Validity.</w:t>
      </w:r>
      <w:r>
        <w:t xml:space="preserve"> </w:t>
      </w:r>
      <w:r>
        <w:t xml:space="preserve">The rate estimates for liveness and the guard come from simulation with rendered landmarks, a behavioral model and composited photographs. The held-out calibration and the sensitivity analysis show that the conclusions do not hinge on the fitted constants or on a particular behavioral setting, and the pilot confirmed the qualitative behavior, but it also showed what simulation misses: real users turn further and react later than modeled, low frame rates blunt blinks, first-time users confuse left and right, and live impostor scores can hover in the uncertain band. With two participants and only phone-screen attacks, a study with many participants and physical print, replay and mask instruments, reporting APCER and BPCER per instrument, remains the most important next step. The webcam evaluation used only 15 identities, and the demographic analysis relies on estimated labels on an unbalanced dataset.</w:t>
      </w:r>
    </w:p>
    <w:bookmarkEnd w:id="36"/>
    <w:bookmarkEnd w:id="37"/>
    <w:bookmarkStart w:id="38" w:name="conclusion"/>
    <w:p>
      <w:pPr>
        <w:pStyle w:val="Heading1"/>
      </w:pPr>
      <w:r>
        <w:t xml:space="preserve">Conclusion</w:t>
      </w:r>
    </w:p>
    <w:p>
      <w:pPr>
        <w:pStyle w:val="FirstParagraph"/>
      </w:pPr>
      <w:r>
        <w:t xml:space="preserve">This paper presented FaceGuard, a CPU-only system that adds face recognition, liveness checks and continuous presence authentication to ordinary webcams while leaving OS sign-in untouched. Its permissively licensed SFace pipeline achieves 99.43% accuracy on LFW, slightly below ArcFace models under the same protocol, and an EER of 0.21% on laptop-webcam images recorded over weeks, but its false-match rates differ substantially between demographic groups. We showed that perspective-induced roll leakage lets tilted prints pass five-landmark head-turn checks and proposed a homography-parallax cue that vanishes for planar presentations. Combined with ordered and timed challenges, it stopped every simulated print attack and reduced replay success well below that of conventional protocols, although replays of the genuine user remain a limit of RGB-only liveness. A real-world pilot rejected every phone-screen attack and revealed two faults that simulation had missed, which we corrected. Future work includes a study with many participants and physical attack instruments, a demographically balanced evaluation with mitigations such as group-aware thresholds, and passive presentation-attack models.</w:t>
      </w:r>
    </w:p>
    <w:bookmarkEnd w:id="38"/>
    <w:bookmarkStart w:id="39" w:name="acknowledgment"/>
    <w:p>
      <w:pPr>
        <w:pStyle w:val="Heading1"/>
        <w:numPr>
          <w:numId w:val="0"/>
        </w:numPr>
      </w:pPr>
      <w:r>
        <w:t xml:space="preserve">Acknowledgment</w:t>
      </w:r>
    </w:p>
    <w:p>
      <w:pPr>
        <w:pStyle w:val="FirstParagraph"/>
      </w:pPr>
      <w:r>
        <w:t xml:space="preserve">We thank the pilot volunteer, the creators of LFW, MPIIFaceGaze and the LFW attribute labels, and the OpenCV Model Zoo, MediaPipe and InsightFace teams for publishing their data and models. In accordance with the IEEE policy on AI-generated content, we disclose that an AI system (Claude, Anthropic) was used to write the software and the experiment scripts, to generate the figures, and to draft the text of all sections, figure captions and tables of this manuscript. The authors reviewed and edited the text, checked the code and verified every reported result, and they take full responsibility for the content.</w:t>
      </w:r>
    </w:p>
    <w:bookmarkEnd w:id="39"/>
    <w:bookmarkStart w:id="42" w:name="references"/>
    <w:p>
      <w:pPr>
        <w:pStyle w:val="Heading1"/>
        <w:numPr>
          <w:numId w:val="0"/>
        </w:numPr>
      </w:pPr>
      <w:r>
        <w:t xml:space="preserve">References</w:t>
      </w:r>
    </w:p>
    <w:p>
      <w:pPr>
        <w:pStyle w:val="IEEEReference"/>
      </w:pPr>
      <w:r>
        <w:t xml:space="preserve">[1]</w:t>
        <w:tab/>
      </w:r>
      <w:r>
        <w:t xml:space="preserve">K. Niinuma, U. Park, and A. K. Jain,</w:t>
      </w:r>
      <w:r>
        <w:t xml:space="preserve"> </w:t>
      </w:r>
      <w:r>
        <w:t xml:space="preserve">“Soft biometric traits for continuous user authentication,”</w:t>
      </w:r>
      <w:r>
        <w:t xml:space="preserve"> </w:t>
      </w:r>
      <w:r>
        <w:rPr>
          <w:i/>
          <w:iCs/>
        </w:rPr>
        <w:t xml:space="preserve">IEEE Trans. Inf. Forensics Security</w:t>
      </w:r>
      <w:r>
        <w:t xml:space="preserve">, vol. 5, no. 4, pp. 771–780, 2010, doi: 10.1109/TIFS.2010.2075927.</w:t>
      </w:r>
    </w:p>
    <w:p>
      <w:pPr>
        <w:pStyle w:val="IEEEReference"/>
      </w:pPr>
      <w:r>
        <w:t xml:space="preserve">[2]</w:t>
        <w:tab/>
      </w:r>
      <w:r>
        <w:t xml:space="preserve">S. Mare, A. M. Markham, C. Cornelius, R. Peterson, and D. Kotz,</w:t>
      </w:r>
      <w:r>
        <w:t xml:space="preserve"> </w:t>
      </w:r>
      <w:r>
        <w:t xml:space="preserve">“</w:t>
      </w:r>
      <w:r>
        <w:t xml:space="preserve">ZEBRA</w:t>
      </w:r>
      <w:r>
        <w:t xml:space="preserve">: Zero-effort bilateral recurring authentication,”</w:t>
      </w:r>
      <w:r>
        <w:t xml:space="preserve"> </w:t>
      </w:r>
      <w:r>
        <w:t xml:space="preserve">in</w:t>
      </w:r>
      <w:r>
        <w:t xml:space="preserve"> </w:t>
      </w:r>
      <w:r>
        <w:rPr>
          <w:i/>
          <w:iCs/>
        </w:rPr>
        <w:t xml:space="preserve">Proc. IEEE Symp. Security Privacy (SP)</w:t>
      </w:r>
      <w:r>
        <w:t xml:space="preserve">, 2014, pp. 705–720, doi: 10.1109/SP.2014.51.</w:t>
      </w:r>
    </w:p>
    <w:p>
      <w:pPr>
        <w:pStyle w:val="IEEEReference"/>
      </w:pPr>
      <w:r>
        <w:t xml:space="preserve">[3]</w:t>
        <w:tab/>
      </w:r>
      <w:r>
        <w:t xml:space="preserve">M. Conti, G. Lovisotto, I. Martinovic, and G. Tsudik,</w:t>
      </w:r>
      <w:r>
        <w:t xml:space="preserve"> </w:t>
      </w:r>
      <w:r>
        <w:t xml:space="preserve">“</w:t>
      </w:r>
      <w:r>
        <w:t xml:space="preserve">FADEWICH</w:t>
      </w:r>
      <w:r>
        <w:t xml:space="preserve">: Fast deauthentication over the wireless channel,”</w:t>
      </w:r>
      <w:r>
        <w:t xml:space="preserve"> </w:t>
      </w:r>
      <w:r>
        <w:t xml:space="preserve">in</w:t>
      </w:r>
      <w:r>
        <w:t xml:space="preserve"> </w:t>
      </w:r>
      <w:r>
        <w:rPr>
          <w:i/>
          <w:iCs/>
        </w:rPr>
        <w:t xml:space="preserve">Proc. IEEE 37th Int. Conf. Distrib. Comput. Syst. (ICDCS)</w:t>
      </w:r>
      <w:r>
        <w:t xml:space="preserve">, 2017, pp. 2294–2301, doi: 10.1109/ICDCS.2017.296.</w:t>
      </w:r>
    </w:p>
    <w:p>
      <w:pPr>
        <w:pStyle w:val="IEEEReference"/>
      </w:pPr>
      <w:r>
        <w:t xml:space="preserve">[4]</w:t>
        <w:tab/>
      </w:r>
      <w:r>
        <w:t xml:space="preserve">S. Ayeswarya and K. J. Singh,</w:t>
      </w:r>
      <w:r>
        <w:t xml:space="preserve"> </w:t>
      </w:r>
      <w:r>
        <w:t xml:space="preserve">“A comprehensive review on secure biometric-based continuous authentication and user profiling,”</w:t>
      </w:r>
      <w:r>
        <w:t xml:space="preserve"> </w:t>
      </w:r>
      <w:r>
        <w:rPr>
          <w:i/>
          <w:iCs/>
        </w:rPr>
        <w:t xml:space="preserve">IEEE Access</w:t>
      </w:r>
      <w:r>
        <w:t xml:space="preserve">, vol. 12, pp. 82 996–83 021, 2024, doi: 10.1109/ACCESS.2024.3411783.</w:t>
      </w:r>
    </w:p>
    <w:p>
      <w:pPr>
        <w:pStyle w:val="IEEEReference"/>
      </w:pPr>
      <w:r>
        <w:t xml:space="preserve">[5]</w:t>
        <w:tab/>
      </w:r>
      <w:r>
        <w:t xml:space="preserve">F. Schroff, D. Kalenichenko, and J. Philbin,</w:t>
      </w:r>
      <w:r>
        <w:t xml:space="preserve"> </w:t>
      </w:r>
      <w:r>
        <w:t xml:space="preserve">“</w:t>
      </w:r>
      <w:r>
        <w:t xml:space="preserve">FaceNet</w:t>
      </w:r>
      <w:r>
        <w:t xml:space="preserve">: A unified embedding for face recognition and clustering,”</w:t>
      </w:r>
      <w:r>
        <w:t xml:space="preserve"> </w:t>
      </w:r>
      <w:r>
        <w:t xml:space="preserve">in</w:t>
      </w:r>
      <w:r>
        <w:t xml:space="preserve"> </w:t>
      </w:r>
      <w:r>
        <w:rPr>
          <w:i/>
          <w:iCs/>
        </w:rPr>
        <w:t xml:space="preserve">Proc. IEEE Conf. Comput. Vis. Pattern Recognit. (CVPR)</w:t>
      </w:r>
      <w:r>
        <w:t xml:space="preserve">, Boston, MA, USA, 2015, pp. 815–823, doi: 10.1109/CVPR.2015.7298682.</w:t>
      </w:r>
    </w:p>
    <w:p>
      <w:pPr>
        <w:pStyle w:val="IEEEReference"/>
      </w:pPr>
      <w:r>
        <w:t xml:space="preserve">[6]</w:t>
        <w:tab/>
      </w:r>
      <w:r>
        <w:t xml:space="preserve">J. Deng, J. Guo, N. Xue, and S. Zafeiriou,</w:t>
      </w:r>
      <w:r>
        <w:t xml:space="preserve"> </w:t>
      </w:r>
      <w:r>
        <w:t xml:space="preserve">“</w:t>
      </w:r>
      <w:r>
        <w:t xml:space="preserve">ArcFace</w:t>
      </w:r>
      <w:r>
        <w:t xml:space="preserve">: Additive angular margin loss for deep face recognition,”</w:t>
      </w:r>
      <w:r>
        <w:t xml:space="preserve"> </w:t>
      </w:r>
      <w:r>
        <w:t xml:space="preserve">in</w:t>
      </w:r>
      <w:r>
        <w:t xml:space="preserve"> </w:t>
      </w:r>
      <w:r>
        <w:rPr>
          <w:i/>
          <w:iCs/>
        </w:rPr>
        <w:t xml:space="preserve">Proc. IEEE/CVF Conf. Comput. Vis. Pattern Recognit. (CVPR)</w:t>
      </w:r>
      <w:r>
        <w:t xml:space="preserve">, 2019, pp. 4685–4694, doi: 10.1109/CVPR.2019.00482.</w:t>
      </w:r>
    </w:p>
    <w:p>
      <w:pPr>
        <w:pStyle w:val="IEEEReference"/>
      </w:pPr>
      <w:r>
        <w:t xml:space="preserve">[7]</w:t>
        <w:tab/>
      </w:r>
      <w:r>
        <w:t xml:space="preserve"/>
      </w:r>
      <w:r>
        <w:t xml:space="preserve"/>
      </w:r>
      <w:r>
        <w:t xml:space="preserve">Microsoft</w:t>
      </w:r>
      <w:r>
        <w:t xml:space="preserve">,</w:t>
      </w:r>
      <w:r>
        <w:t xml:space="preserve"> </w:t>
      </w:r>
      <w:r>
        <w:t xml:space="preserve">“Windows</w:t>
      </w:r>
      <w:r>
        <w:t xml:space="preserve"> </w:t>
      </w:r>
      <w:r>
        <w:t xml:space="preserve">Hello</w:t>
      </w:r>
      <w:r>
        <w:t xml:space="preserve"> </w:t>
      </w:r>
      <w:r>
        <w:t xml:space="preserve">biometric requirements,”</w:t>
      </w:r>
      <w:r>
        <w:t xml:space="preserve"> </w:t>
      </w:r>
      <w:r>
        <w:t xml:space="preserve">Microsoft Learn. [Online]. Available:</w:t>
      </w:r>
      <w:r>
        <w:t xml:space="preserve"> </w:t>
      </w:r>
      <w:hyperlink r:id="rId40">
        <w:r>
          <w:rPr>
            <w:rStyle w:val="Hyperlink"/>
          </w:rPr>
          <w:t xml:space="preserve">https://learn.microsoft.com/en-us/windows-hardware/design/device-experiences/windows-hello-biometric-requirements</w:t>
        </w:r>
      </w:hyperlink>
      <w:r>
        <w:t xml:space="preserve">, accessed: Sep. 28, 2026.</w:t>
      </w:r>
    </w:p>
    <w:p>
      <w:pPr>
        <w:pStyle w:val="IEEEReference"/>
      </w:pPr>
      <w:r>
        <w:t xml:space="preserve">[8]</w:t>
        <w:tab/>
      </w:r>
      <w:r>
        <w:t xml:space="preserve">Z. Zhang, J. Yan, S. Liu, Z. Lei, D. Yi, and S. Z. Li,</w:t>
      </w:r>
      <w:r>
        <w:t xml:space="preserve"> </w:t>
      </w:r>
      <w:r>
        <w:t xml:space="preserve">“A face antispoofing database with diverse attacks,”</w:t>
      </w:r>
      <w:r>
        <w:t xml:space="preserve"> </w:t>
      </w:r>
      <w:r>
        <w:t xml:space="preserve">in</w:t>
      </w:r>
      <w:r>
        <w:t xml:space="preserve"> </w:t>
      </w:r>
      <w:r>
        <w:rPr>
          <w:i/>
          <w:iCs/>
        </w:rPr>
        <w:t xml:space="preserve">Proc. 5th IAPR Int. Conf. Biometrics (ICB)</w:t>
      </w:r>
      <w:r>
        <w:t xml:space="preserve">, 2012, pp. 26–31, doi: 10.1109/ICB.2012.6199754.</w:t>
      </w:r>
    </w:p>
    <w:p>
      <w:pPr>
        <w:pStyle w:val="IEEEReference"/>
      </w:pPr>
      <w:r>
        <w:t xml:space="preserve">[9]</w:t>
        <w:tab/>
      </w:r>
      <w:r>
        <w:t xml:space="preserve">E. Murphy-Chutorian and M. M. Trivedi,</w:t>
      </w:r>
      <w:r>
        <w:t xml:space="preserve"> </w:t>
      </w:r>
      <w:r>
        <w:t xml:space="preserve">“Head pose estimation in computer vision: A survey,”</w:t>
      </w:r>
      <w:r>
        <w:t xml:space="preserve"> </w:t>
      </w:r>
      <w:r>
        <w:rPr>
          <w:i/>
          <w:iCs/>
        </w:rPr>
        <w:t xml:space="preserve">IEEE Trans. Pattern Anal. Mach. Intell.</w:t>
      </w:r>
      <w:r>
        <w:t xml:space="preserve">, vol. 31, no. 4, pp. 607–626, 2009, doi: 10.1109/TPAMI.2008.106.</w:t>
      </w:r>
    </w:p>
    <w:p>
      <w:pPr>
        <w:pStyle w:val="IEEEReference"/>
      </w:pPr>
      <w:r>
        <w:t xml:space="preserve">[10]</w:t>
        <w:tab/>
      </w:r>
      <w:r>
        <w:t xml:space="preserve">W. Wu, H. Peng, and S. Yu,</w:t>
      </w:r>
      <w:r>
        <w:t xml:space="preserve"> </w:t>
      </w:r>
      <w:r>
        <w:t xml:space="preserve">“</w:t>
      </w:r>
      <w:r>
        <w:t xml:space="preserve">YuNet</w:t>
      </w:r>
      <w:r>
        <w:t xml:space="preserve">: A tiny millisecond-level face detector,”</w:t>
      </w:r>
      <w:r>
        <w:t xml:space="preserve"> </w:t>
      </w:r>
      <w:r>
        <w:rPr>
          <w:i/>
          <w:iCs/>
        </w:rPr>
        <w:t xml:space="preserve">Mach. Intell. Res.</w:t>
      </w:r>
      <w:r>
        <w:t xml:space="preserve">, vol. 20, no. 5, pp. 656–665, 2023, doi: 10.1007/s11633-023-1423-y.</w:t>
      </w:r>
    </w:p>
    <w:p>
      <w:pPr>
        <w:pStyle w:val="IEEEReference"/>
      </w:pPr>
      <w:r>
        <w:t xml:space="preserve">[11]</w:t>
        <w:tab/>
      </w:r>
      <w:r>
        <w:t xml:space="preserve">Z. Zhu, G. Huang, J. Deng, Y. Ye, J. Huang, X. Chen, J. Zhu, T. Yang, J. Lu, D. Du, and J. Zhou,</w:t>
      </w:r>
      <w:r>
        <w:t xml:space="preserve"> </w:t>
      </w:r>
      <w:r>
        <w:t xml:space="preserve">“</w:t>
      </w:r>
      <w:r>
        <w:t xml:space="preserve">WebFace260M</w:t>
      </w:r>
      <w:r>
        <w:t xml:space="preserve">: A benchmark unveiling the power of million-scale deep face recognition,”</w:t>
      </w:r>
      <w:r>
        <w:t xml:space="preserve"> </w:t>
      </w:r>
      <w:r>
        <w:t xml:space="preserve">in</w:t>
      </w:r>
      <w:r>
        <w:t xml:space="preserve"> </w:t>
      </w:r>
      <w:r>
        <w:rPr>
          <w:i/>
          <w:iCs/>
        </w:rPr>
        <w:t xml:space="preserve">Proc. IEEE/CVF Conf. Comput. Vis. Pattern Recognit. (CVPR)</w:t>
      </w:r>
      <w:r>
        <w:t xml:space="preserve">, Nashville, TN, USA, 2021, pp. 10 487–10 497, doi: 10.1109/CVPR46437.2021.01035.</w:t>
      </w:r>
    </w:p>
    <w:p>
      <w:pPr>
        <w:pStyle w:val="IEEEReference"/>
      </w:pPr>
      <w:r>
        <w:t xml:space="preserve">[12]</w:t>
        <w:tab/>
      </w:r>
      <w:r>
        <w:t xml:space="preserve">Y. Zhong, W. Deng, J. Hu, D. Zhao, X. Li, and D. Wen,</w:t>
      </w:r>
      <w:r>
        <w:t xml:space="preserve"> </w:t>
      </w:r>
      <w:r>
        <w:t xml:space="preserve">“</w:t>
      </w:r>
      <w:r>
        <w:t xml:space="preserve">SFace</w:t>
      </w:r>
      <w:r>
        <w:t xml:space="preserve">: Sigmoid-constrained hypersphere loss for robust face recognition,”</w:t>
      </w:r>
      <w:r>
        <w:t xml:space="preserve"> </w:t>
      </w:r>
      <w:r>
        <w:rPr>
          <w:i/>
          <w:iCs/>
        </w:rPr>
        <w:t xml:space="preserve">IEEE Trans. Image Process.</w:t>
      </w:r>
      <w:r>
        <w:t xml:space="preserve">, vol. 30, pp. 2587–2598, 2021, doi: 10.1109/TIP.2020.3048632.</w:t>
      </w:r>
    </w:p>
    <w:p>
      <w:pPr>
        <w:pStyle w:val="IEEEReference"/>
      </w:pPr>
      <w:r>
        <w:t xml:space="preserve">[13]</w:t>
        <w:tab/>
      </w:r>
      <w:r>
        <w:t xml:space="preserve">M. G</w:t>
      </w:r>
      <w:r>
        <w:t xml:space="preserve">ü</w:t>
      </w:r>
      <w:r>
        <w:t xml:space="preserve">nther, S. Cruz, E. M. Rudd, and T. E. Boult,</w:t>
      </w:r>
      <w:r>
        <w:t xml:space="preserve"> </w:t>
      </w:r>
      <w:r>
        <w:t xml:space="preserve">“Toward open-set face recognition,”</w:t>
      </w:r>
      <w:r>
        <w:t xml:space="preserve"> </w:t>
      </w:r>
      <w:r>
        <w:t xml:space="preserve">in</w:t>
      </w:r>
      <w:r>
        <w:t xml:space="preserve"> </w:t>
      </w:r>
      <w:r>
        <w:rPr>
          <w:i/>
          <w:iCs/>
        </w:rPr>
        <w:t xml:space="preserve">Proc. IEEE Conf. Comput. Vis. Pattern Recognit. Workshops (CVPRW)</w:t>
      </w:r>
      <w:r>
        <w:t xml:space="preserve">, 2017, pp. 573–582, doi: 10.1109/CVPRW.2017.85.</w:t>
      </w:r>
    </w:p>
    <w:p>
      <w:pPr>
        <w:pStyle w:val="IEEEReference"/>
      </w:pPr>
      <w:r>
        <w:t xml:space="preserve">[14]</w:t>
        <w:tab/>
      </w:r>
      <w:r>
        <w:t xml:space="preserve">P. Terh</w:t>
      </w:r>
      <w:r>
        <w:t xml:space="preserve">ö</w:t>
      </w:r>
      <w:r>
        <w:t xml:space="preserve">rst, J. N. Kolf, N. Damer, F. Kirchbuchner, and A. Kuijper,</w:t>
      </w:r>
      <w:r>
        <w:t xml:space="preserve"> </w:t>
      </w:r>
      <w:r>
        <w:t xml:space="preserve">“</w:t>
      </w:r>
      <w:r>
        <w:t xml:space="preserve">SER-FIQ</w:t>
      </w:r>
      <w:r>
        <w:t xml:space="preserve">: Unsupervised estimation of face image quality based on stochastic embedding robustness,”</w:t>
      </w:r>
      <w:r>
        <w:t xml:space="preserve"> </w:t>
      </w:r>
      <w:r>
        <w:t xml:space="preserve">in</w:t>
      </w:r>
      <w:r>
        <w:t xml:space="preserve"> </w:t>
      </w:r>
      <w:r>
        <w:rPr>
          <w:i/>
          <w:iCs/>
        </w:rPr>
        <w:t xml:space="preserve">Proc. IEEE/CVF Conf. Comput. Vis. Pattern Recognit. (CVPR)</w:t>
      </w:r>
      <w:r>
        <w:t xml:space="preserve">, 2020, pp. 5650–5659, doi: 10.1109/CVPR42600.2020.00569.</w:t>
      </w:r>
    </w:p>
    <w:p>
      <w:pPr>
        <w:pStyle w:val="IEEEReference"/>
      </w:pPr>
      <w:r>
        <w:t xml:space="preserve">[15]</w:t>
        <w:tab/>
      </w:r>
      <w:r>
        <w:t xml:space="preserve">Z. Yu, Y. Qin, X. Li, C. Zhao, Z. Lei, and G. Zhao,</w:t>
      </w:r>
      <w:r>
        <w:t xml:space="preserve"> </w:t>
      </w:r>
      <w:r>
        <w:t xml:space="preserve">“Deep learning for face anti-spoofing: A survey,”</w:t>
      </w:r>
      <w:r>
        <w:t xml:space="preserve"> </w:t>
      </w:r>
      <w:r>
        <w:rPr>
          <w:i/>
          <w:iCs/>
        </w:rPr>
        <w:t xml:space="preserve">IEEE Trans. Pattern Anal. Mach. Intell.</w:t>
      </w:r>
      <w:r>
        <w:t xml:space="preserve">, vol. 45, no. 5, pp. 5609–5631, 2023, doi: 10.1109/TPAMI.2022.3215850.</w:t>
      </w:r>
    </w:p>
    <w:p>
      <w:pPr>
        <w:pStyle w:val="IEEEReference"/>
      </w:pPr>
      <w:r>
        <w:t xml:space="preserve">[16]</w:t>
        <w:tab/>
      </w:r>
      <w:r>
        <w:t xml:space="preserve"/>
      </w:r>
      <w:r>
        <w:t xml:space="preserve"/>
      </w:r>
      <w:r>
        <w:t xml:space="preserve">ISO/IEC</w:t>
      </w:r>
      <w:r>
        <w:t xml:space="preserve">,</w:t>
      </w:r>
      <w:r>
        <w:t xml:space="preserve"> </w:t>
      </w:r>
      <w:r>
        <w:t xml:space="preserve">“</w:t>
      </w:r>
      <w:r>
        <w:t xml:space="preserve">ISO/IEC</w:t>
      </w:r>
      <w:r>
        <w:t xml:space="preserve"> </w:t>
      </w:r>
      <w:r>
        <w:t xml:space="preserve">30107-3:2017</w:t>
      </w:r>
      <w:r>
        <w:t xml:space="preserve"> </w:t>
      </w:r>
      <w:r>
        <w:t xml:space="preserve">Information technology</w:t>
      </w:r>
      <w:r>
        <w:t xml:space="preserve"> </w:t>
      </w:r>
      <w:r>
        <w:t xml:space="preserve">–</w:t>
      </w:r>
      <w:r>
        <w:t xml:space="preserve"> </w:t>
      </w:r>
      <w:r>
        <w:t xml:space="preserve">Biometric</w:t>
      </w:r>
      <w:r>
        <w:t xml:space="preserve"> </w:t>
      </w:r>
      <w:r>
        <w:t xml:space="preserve">presentation attack detection –</w:t>
      </w:r>
      <w:r>
        <w:t xml:space="preserve"> </w:t>
      </w:r>
      <w:r>
        <w:t xml:space="preserve">Part</w:t>
      </w:r>
      <w:r>
        <w:t xml:space="preserve"> </w:t>
      </w:r>
      <w:r>
        <w:t xml:space="preserve">3:</w:t>
      </w:r>
      <w:r>
        <w:t xml:space="preserve"> </w:t>
      </w:r>
      <w:r>
        <w:t xml:space="preserve">Testing</w:t>
      </w:r>
      <w:r>
        <w:t xml:space="preserve"> </w:t>
      </w:r>
      <w:r>
        <w:t xml:space="preserve">and reporting,”</w:t>
      </w:r>
      <w:r>
        <w:t xml:space="preserve"> </w:t>
      </w:r>
      <w:r>
        <w:t xml:space="preserve">International Organization for Standardization, Geneva, Switzerland, 2017.</w:t>
      </w:r>
    </w:p>
    <w:p>
      <w:pPr>
        <w:pStyle w:val="IEEEReference"/>
      </w:pPr>
      <w:r>
        <w:t xml:space="preserve">[17]</w:t>
        <w:tab/>
      </w:r>
      <w:r>
        <w:t xml:space="preserve">D. Wen, H. Han, and A. K. Jain,</w:t>
      </w:r>
      <w:r>
        <w:t xml:space="preserve"> </w:t>
      </w:r>
      <w:r>
        <w:t xml:space="preserve">“Face spoof detection with image distortion analysis,”</w:t>
      </w:r>
      <w:r>
        <w:t xml:space="preserve"> </w:t>
      </w:r>
      <w:r>
        <w:rPr>
          <w:i/>
          <w:iCs/>
        </w:rPr>
        <w:t xml:space="preserve">IEEE Trans. Inf. Forensics Security</w:t>
      </w:r>
      <w:r>
        <w:t xml:space="preserve">, vol. 10, no. 4, pp. 746–761, 2015, doi: 10.1109/TIFS.2015.2400395.</w:t>
      </w:r>
    </w:p>
    <w:p>
      <w:pPr>
        <w:pStyle w:val="IEEEReference"/>
      </w:pPr>
      <w:r>
        <w:t xml:space="preserve">[18]</w:t>
        <w:tab/>
      </w:r>
      <w:r>
        <w:t xml:space="preserve">Y. Liu, A. Jourabloo, and X. Liu,</w:t>
      </w:r>
      <w:r>
        <w:t xml:space="preserve"> </w:t>
      </w:r>
      <w:r>
        <w:t xml:space="preserve">“Learning deep models for face anti-spoofing: Binary or auxiliary supervision,”</w:t>
      </w:r>
      <w:r>
        <w:t xml:space="preserve"> </w:t>
      </w:r>
      <w:r>
        <w:t xml:space="preserve">in</w:t>
      </w:r>
      <w:r>
        <w:t xml:space="preserve"> </w:t>
      </w:r>
      <w:r>
        <w:rPr>
          <w:i/>
          <w:iCs/>
        </w:rPr>
        <w:t xml:space="preserve">Proc. IEEE/CVF Conf. Comput. Vis. Pattern Recognit. (CVPR)</w:t>
      </w:r>
      <w:r>
        <w:t xml:space="preserve">, 2018, pp. 389–398, doi: 10.1109/CVPR.2018.00048.</w:t>
      </w:r>
    </w:p>
    <w:p>
      <w:pPr>
        <w:pStyle w:val="IEEEReference"/>
      </w:pPr>
      <w:r>
        <w:t xml:space="preserve">[19]</w:t>
        <w:tab/>
      </w:r>
      <w:r>
        <w:t xml:space="preserve">Z. Wang, Z. Wang, Z. Yu, W. Deng, J. Li, T. Gao, and Z. Wang,</w:t>
      </w:r>
      <w:r>
        <w:t xml:space="preserve"> </w:t>
      </w:r>
      <w:r>
        <w:t xml:space="preserve">“Domain generalization via shuffled style assembly for face anti-spoofing,”</w:t>
      </w:r>
      <w:r>
        <w:t xml:space="preserve"> </w:t>
      </w:r>
      <w:r>
        <w:t xml:space="preserve">in</w:t>
      </w:r>
      <w:r>
        <w:t xml:space="preserve"> </w:t>
      </w:r>
      <w:r>
        <w:rPr>
          <w:i/>
          <w:iCs/>
        </w:rPr>
        <w:t xml:space="preserve">Proc. IEEE/CVF Conf. Comput. Vis. Pattern Recognit. (CVPR)</w:t>
      </w:r>
      <w:r>
        <w:t xml:space="preserve">, New Orleans, LA, USA, 2022, pp. 4113–4123, doi: 10.1109/CVPR52688.2022.00409.</w:t>
      </w:r>
    </w:p>
    <w:p>
      <w:pPr>
        <w:pStyle w:val="IEEEReference"/>
      </w:pPr>
      <w:r>
        <w:t xml:space="preserve">[20]</w:t>
        <w:tab/>
      </w:r>
      <w:r>
        <w:t xml:space="preserve">K. Kollreider, H. Fronthaler, M. I. Faraj, and J. Bigun,</w:t>
      </w:r>
      <w:r>
        <w:t xml:space="preserve"> </w:t>
      </w:r>
      <w:r>
        <w:t xml:space="preserve">“Real-time face detection and motion analysis with application in</w:t>
      </w:r>
      <w:r>
        <w:t xml:space="preserve"> </w:t>
      </w:r>
      <w:r>
        <w:t xml:space="preserve">“liveness”</w:t>
      </w:r>
      <w:r>
        <w:t xml:space="preserve"> </w:t>
      </w:r>
      <w:r>
        <w:t xml:space="preserve">assessment,”</w:t>
      </w:r>
      <w:r>
        <w:t xml:space="preserve"> </w:t>
      </w:r>
      <w:r>
        <w:rPr>
          <w:i/>
          <w:iCs/>
        </w:rPr>
        <w:t xml:space="preserve">IEEE Trans. Inf. Forensics Security</w:t>
      </w:r>
      <w:r>
        <w:t xml:space="preserve">, vol. 2, no. 3, pp. 548–558, 2007, doi: 10.1109/TIFS.2007.902037.</w:t>
      </w:r>
    </w:p>
    <w:p>
      <w:pPr>
        <w:pStyle w:val="IEEEReference"/>
      </w:pPr>
      <w:r>
        <w:t xml:space="preserve">[21]</w:t>
        <w:tab/>
      </w:r>
      <w:r>
        <w:t xml:space="preserve">M. D. Marsico, M. Nappi, D. Riccio, and J.-L. Dugelay,</w:t>
      </w:r>
      <w:r>
        <w:t xml:space="preserve"> </w:t>
      </w:r>
      <w:r>
        <w:t xml:space="preserve">“Moving face spoofing detection via</w:t>
      </w:r>
      <w:r>
        <w:t xml:space="preserve"> </w:t>
      </w:r>
      <w:r>
        <w:t xml:space="preserve">3D</w:t>
      </w:r>
      <w:r>
        <w:t xml:space="preserve"> </w:t>
      </w:r>
      <w:r>
        <w:t xml:space="preserve">projective invariants,”</w:t>
      </w:r>
      <w:r>
        <w:t xml:space="preserve"> </w:t>
      </w:r>
      <w:r>
        <w:t xml:space="preserve">in</w:t>
      </w:r>
      <w:r>
        <w:t xml:space="preserve"> </w:t>
      </w:r>
      <w:r>
        <w:rPr>
          <w:i/>
          <w:iCs/>
        </w:rPr>
        <w:t xml:space="preserve">Proc. 5th IAPR Int. Conf. Biometrics (ICB)</w:t>
      </w:r>
      <w:r>
        <w:t xml:space="preserve">, 2012, pp. 73–78, doi: 10.1109/ICB.2012.6199761.</w:t>
      </w:r>
    </w:p>
    <w:p>
      <w:pPr>
        <w:pStyle w:val="IEEEReference"/>
      </w:pPr>
      <w:r>
        <w:t xml:space="preserve">[22]</w:t>
        <w:tab/>
      </w:r>
      <w:r>
        <w:t xml:space="preserve">T. Wang, J. Yang, Z. Lei, S. Liao, and S. Z. Li,</w:t>
      </w:r>
      <w:r>
        <w:t xml:space="preserve"> </w:t>
      </w:r>
      <w:r>
        <w:t xml:space="preserve">“Face liveness detection using</w:t>
      </w:r>
      <w:r>
        <w:t xml:space="preserve"> </w:t>
      </w:r>
      <w:r>
        <w:t xml:space="preserve">3D</w:t>
      </w:r>
      <w:r>
        <w:t xml:space="preserve"> </w:t>
      </w:r>
      <w:r>
        <w:t xml:space="preserve">structure recovered from a single camera,”</w:t>
      </w:r>
      <w:r>
        <w:t xml:space="preserve"> </w:t>
      </w:r>
      <w:r>
        <w:t xml:space="preserve">in</w:t>
      </w:r>
      <w:r>
        <w:t xml:space="preserve"> </w:t>
      </w:r>
      <w:r>
        <w:rPr>
          <w:i/>
          <w:iCs/>
        </w:rPr>
        <w:t xml:space="preserve">Proc. Int. Conf. Biometrics (ICB)</w:t>
      </w:r>
      <w:r>
        <w:t xml:space="preserve">, 2013, pp. 1–6, doi: 10.1109/ICB.2013.6612957.</w:t>
      </w:r>
    </w:p>
    <w:p>
      <w:pPr>
        <w:pStyle w:val="IEEEReference"/>
      </w:pPr>
      <w:r>
        <w:t xml:space="preserve">[23]</w:t>
        <w:tab/>
      </w:r>
      <w:r>
        <w:t xml:space="preserve">G. Pan, L. Sun, Z. Wu, and S. Lao,</w:t>
      </w:r>
      <w:r>
        <w:t xml:space="preserve"> </w:t>
      </w:r>
      <w:r>
        <w:t xml:space="preserve">“Eyeblink-based anti-spoofing in face recognition from a generic webcamera,”</w:t>
      </w:r>
      <w:r>
        <w:t xml:space="preserve"> </w:t>
      </w:r>
      <w:r>
        <w:t xml:space="preserve">in</w:t>
      </w:r>
      <w:r>
        <w:t xml:space="preserve"> </w:t>
      </w:r>
      <w:r>
        <w:rPr>
          <w:i/>
          <w:iCs/>
        </w:rPr>
        <w:t xml:space="preserve">Proc. IEEE 11th Int. Conf. Comput. Vis. (ICCV)</w:t>
      </w:r>
      <w:r>
        <w:t xml:space="preserve">, 2007, pp. 1–8, doi: 10.1109/ICCV.2007.4409068.</w:t>
      </w:r>
    </w:p>
    <w:p>
      <w:pPr>
        <w:pStyle w:val="IEEEReference"/>
      </w:pPr>
      <w:r>
        <w:t xml:space="preserve">[24]</w:t>
        <w:tab/>
      </w:r>
      <w:r>
        <w:t xml:space="preserve">M. Zhou, Q. Wang, Q. Li, W. Zhou, J. Yang, and C. Shen,</w:t>
      </w:r>
      <w:r>
        <w:t xml:space="preserve"> </w:t>
      </w:r>
      <w:r>
        <w:t xml:space="preserve">“Securing face liveness detection on mobile devices using unforgeable lip motion patterns,”</w:t>
      </w:r>
      <w:r>
        <w:t xml:space="preserve"> </w:t>
      </w:r>
      <w:r>
        <w:rPr>
          <w:i/>
          <w:iCs/>
        </w:rPr>
        <w:t xml:space="preserve">IEEE Trans. Mobile Comput.</w:t>
      </w:r>
      <w:r>
        <w:t xml:space="preserve">, vol. 23, no. 10, pp. 9772–9788, 2024, doi: 10.1109/TMC.2024.3367781.</w:t>
      </w:r>
    </w:p>
    <w:p>
      <w:pPr>
        <w:pStyle w:val="IEEEReference"/>
      </w:pPr>
      <w:r>
        <w:t xml:space="preserve">[25]</w:t>
        <w:tab/>
      </w:r>
      <w:r>
        <w:t xml:space="preserve">A. Bewley, Z. Ge, L. Ott, F. Ramos, and B. Upcroft,</w:t>
      </w:r>
      <w:r>
        <w:t xml:space="preserve"> </w:t>
      </w:r>
      <w:r>
        <w:t xml:space="preserve">“Simple online and realtime tracking,”</w:t>
      </w:r>
      <w:r>
        <w:t xml:space="preserve"> </w:t>
      </w:r>
      <w:r>
        <w:t xml:space="preserve">in</w:t>
      </w:r>
      <w:r>
        <w:t xml:space="preserve"> </w:t>
      </w:r>
      <w:r>
        <w:rPr>
          <w:i/>
          <w:iCs/>
        </w:rPr>
        <w:t xml:space="preserve">Proc. IEEE Int. Conf. Image Process. (ICIP)</w:t>
      </w:r>
      <w:r>
        <w:t xml:space="preserve">, 2016, pp. 3464–3468, doi: 10.1109/ICIP.2016.7533003.</w:t>
      </w:r>
    </w:p>
    <w:p>
      <w:pPr>
        <w:pStyle w:val="IEEEReference"/>
      </w:pPr>
      <w:r>
        <w:t xml:space="preserve">[26]</w:t>
        <w:tab/>
      </w:r>
      <w:r>
        <w:t xml:space="preserve">N. K. Ratha, J. H. Connell, and R. M. Bolle,</w:t>
      </w:r>
      <w:r>
        <w:t xml:space="preserve"> </w:t>
      </w:r>
      <w:r>
        <w:t xml:space="preserve">“Enhancing security and privacy in biometrics-based authentication systems,”</w:t>
      </w:r>
      <w:r>
        <w:t xml:space="preserve"> </w:t>
      </w:r>
      <w:r>
        <w:rPr>
          <w:i/>
          <w:iCs/>
        </w:rPr>
        <w:t xml:space="preserve">IBM Syst. J.</w:t>
      </w:r>
      <w:r>
        <w:t xml:space="preserve">, vol. 40, no. 3, pp. 614–634, 2001, doi: 10.1147/sj.403.0614.</w:t>
      </w:r>
    </w:p>
    <w:p>
      <w:pPr>
        <w:pStyle w:val="IEEEReference"/>
      </w:pPr>
      <w:r>
        <w:t xml:space="preserve">[27]</w:t>
        <w:tab/>
      </w:r>
      <w:r>
        <w:t xml:space="preserve">A. Rattani, G. L. Marcialis, and F. Roli,</w:t>
      </w:r>
      <w:r>
        <w:t xml:space="preserve"> </w:t>
      </w:r>
      <w:r>
        <w:t xml:space="preserve">“Capturing large intra-class variations of biometric data by template co-updating,”</w:t>
      </w:r>
      <w:r>
        <w:t xml:space="preserve"> </w:t>
      </w:r>
      <w:r>
        <w:t xml:space="preserve">in</w:t>
      </w:r>
      <w:r>
        <w:t xml:space="preserve"> </w:t>
      </w:r>
      <w:r>
        <w:rPr>
          <w:i/>
          <w:iCs/>
        </w:rPr>
        <w:t xml:space="preserve">Proc. IEEE Comput. Soc. Conf. Comput. Vis. Pattern Recognit. Workshops (CVPRW)</w:t>
      </w:r>
      <w:r>
        <w:t xml:space="preserve">, 2008, pp. 1–6, doi: 10.1109/CVPRW.2008.4563116.</w:t>
      </w:r>
    </w:p>
    <w:p>
      <w:pPr>
        <w:pStyle w:val="IEEEReference"/>
      </w:pPr>
      <w:r>
        <w:t xml:space="preserve">[28]</w:t>
        <w:tab/>
      </w:r>
      <w:r>
        <w:t xml:space="preserve">Y. Kartynnik, A. Ablavatski, I. Grishchenko, and M. Grundmann,</w:t>
      </w:r>
      <w:r>
        <w:t xml:space="preserve"> </w:t>
      </w:r>
      <w:r>
        <w:t xml:space="preserve">“Real-time facial surface geometry from monocular video on mobile</w:t>
      </w:r>
      <w:r>
        <w:t xml:space="preserve"> </w:t>
      </w:r>
      <w:r>
        <w:t xml:space="preserve">GPUs</w:t>
      </w:r>
      <w:r>
        <w:t xml:space="preserve">,”</w:t>
      </w:r>
      <w:r>
        <w:t xml:space="preserve"> </w:t>
      </w:r>
      <w:r>
        <w:t xml:space="preserve">arXiv:1907.06724, 2019.</w:t>
      </w:r>
    </w:p>
    <w:p>
      <w:pPr>
        <w:pStyle w:val="IEEEReference"/>
      </w:pPr>
      <w:r>
        <w:t xml:space="preserve">[29]</w:t>
        <w:tab/>
      </w:r>
      <w:r>
        <w:t xml:space="preserve">R. Hartley and A. Zisserman,</w:t>
      </w:r>
      <w:r>
        <w:t xml:space="preserve"> </w:t>
      </w:r>
      <w:r>
        <w:rPr>
          <w:i/>
          <w:iCs/>
        </w:rPr>
        <w:t xml:space="preserve">Multiple View Geometry in Computer Vision</w:t>
      </w:r>
      <w:r>
        <w:t xml:space="preserve">, 2nd ed. Cambridge Univ. Press, 2004, ch. 4.</w:t>
      </w:r>
    </w:p>
    <w:p>
      <w:pPr>
        <w:pStyle w:val="IEEEReference"/>
      </w:pPr>
      <w:r>
        <w:t xml:space="preserve">[30]</w:t>
        <w:tab/>
      </w:r>
      <w:r>
        <w:t xml:space="preserve">S. Tatsuno, T. Hayakawa, and M. Ishikawa,</w:t>
      </w:r>
      <w:r>
        <w:t xml:space="preserve"> </w:t>
      </w:r>
      <w:r>
        <w:t xml:space="preserve">“Comparison of reaction times in response to electrical and visual stimulation using a high-speed camera,”</w:t>
      </w:r>
      <w:r>
        <w:t xml:space="preserve"> </w:t>
      </w:r>
      <w:r>
        <w:t xml:space="preserve">in</w:t>
      </w:r>
      <w:r>
        <w:t xml:space="preserve"> </w:t>
      </w:r>
      <w:r>
        <w:rPr>
          <w:i/>
          <w:iCs/>
        </w:rPr>
        <w:t xml:space="preserve">Proc. IEEE Int. Conf. Syst., Man, Cybern. (SMC)</w:t>
      </w:r>
      <w:r>
        <w:t xml:space="preserve">, Budapest, Hungary, 2016, pp. 1251–1256, doi: 10.1109/SMC.2016.7844413.</w:t>
      </w:r>
    </w:p>
    <w:p>
      <w:pPr>
        <w:pStyle w:val="IEEEReference"/>
      </w:pPr>
      <w:r>
        <w:t xml:space="preserve">[31]</w:t>
        <w:tab/>
      </w:r>
      <w:r>
        <w:t xml:space="preserve"/>
      </w:r>
      <w:r>
        <w:t xml:space="preserve"/>
      </w:r>
      <w:r>
        <w:t xml:space="preserve">Microsoft</w:t>
      </w:r>
      <w:r>
        <w:t xml:space="preserve">,</w:t>
      </w:r>
      <w:r>
        <w:t xml:space="preserve"> </w:t>
      </w:r>
      <w:r>
        <w:t xml:space="preserve">“</w:t>
      </w:r>
      <w:r>
        <w:t xml:space="preserve">CryptProtectData</w:t>
      </w:r>
      <w:r>
        <w:t xml:space="preserve"> </w:t>
      </w:r>
      <w:r>
        <w:t xml:space="preserve">function (dpapi.h),”</w:t>
      </w:r>
      <w:r>
        <w:t xml:space="preserve"> </w:t>
      </w:r>
      <w:r>
        <w:t xml:space="preserve">Microsoft Learn. [Online]. Available:</w:t>
      </w:r>
      <w:r>
        <w:t xml:space="preserve"> </w:t>
      </w:r>
      <w:hyperlink r:id="rId41">
        <w:r>
          <w:rPr>
            <w:rStyle w:val="Hyperlink"/>
          </w:rPr>
          <w:t xml:space="preserve">https://learn.microsoft.com/en-us/windows/win32/api/dpapi/nf-dpapi-cryptprotectdata</w:t>
        </w:r>
      </w:hyperlink>
      <w:r>
        <w:t xml:space="preserve">, accessed: Sep. 28, 2026.</w:t>
      </w:r>
    </w:p>
    <w:p>
      <w:pPr>
        <w:pStyle w:val="IEEEReference"/>
      </w:pPr>
      <w:r>
        <w:t xml:space="preserve">[32]</w:t>
        <w:tab/>
      </w:r>
      <w:r>
        <w:t xml:space="preserve">G. B. Huang, M. Ramesh, T. Berg, and E. Learned-Miller,</w:t>
      </w:r>
      <w:r>
        <w:t xml:space="preserve"> </w:t>
      </w:r>
      <w:r>
        <w:t xml:space="preserve">“Labeled faces in the wild: A database for studying face recognition in unconstrained environments,”</w:t>
      </w:r>
      <w:r>
        <w:t xml:space="preserve"> </w:t>
      </w:r>
      <w:r>
        <w:t xml:space="preserve">Univ. Massachusetts, Amherst, Tech. Rep. 07-49, 2007.</w:t>
      </w:r>
    </w:p>
    <w:p>
      <w:pPr>
        <w:pStyle w:val="IEEEReference"/>
      </w:pPr>
      <w:r>
        <w:t xml:space="preserve">[33]</w:t>
        <w:tab/>
      </w:r>
      <w:r>
        <w:t xml:space="preserve">X. Zhang, Y. Sugano, M. Fritz, and A. Bulling,</w:t>
      </w:r>
      <w:r>
        <w:t xml:space="preserve"> </w:t>
      </w:r>
      <w:r>
        <w:t xml:space="preserve">“It’s written all over your face: Full-face appearance-based gaze estimation,”</w:t>
      </w:r>
      <w:r>
        <w:t xml:space="preserve"> </w:t>
      </w:r>
      <w:r>
        <w:t xml:space="preserve">in</w:t>
      </w:r>
      <w:r>
        <w:t xml:space="preserve"> </w:t>
      </w:r>
      <w:r>
        <w:rPr>
          <w:i/>
          <w:iCs/>
        </w:rPr>
        <w:t xml:space="preserve">Proc. IEEE Conf. Comput. Vis. Pattern Recognit. Workshops (CVPRW)</w:t>
      </w:r>
      <w:r>
        <w:t xml:space="preserve">, Honolulu, HI, USA, 2017, pp. 2299–2308, doi: 10.1109/CVPRW.2017.284.</w:t>
      </w:r>
    </w:p>
    <w:p>
      <w:pPr>
        <w:pStyle w:val="IEEEReference"/>
      </w:pPr>
      <w:r>
        <w:t xml:space="preserve">[34]</w:t>
        <w:tab/>
      </w:r>
      <w:r>
        <w:t xml:space="preserve">N. Kumar, A. Berg, P. N. Belhumeur, and S. Nayar,</w:t>
      </w:r>
      <w:r>
        <w:t xml:space="preserve"> </w:t>
      </w:r>
      <w:r>
        <w:t xml:space="preserve">“Describable visual attributes for face verification and image search,”</w:t>
      </w:r>
      <w:r>
        <w:t xml:space="preserve"> </w:t>
      </w:r>
      <w:r>
        <w:rPr>
          <w:i/>
          <w:iCs/>
        </w:rPr>
        <w:t xml:space="preserve">IEEE Trans. Pattern Anal. Mach. Intell.</w:t>
      </w:r>
      <w:r>
        <w:t xml:space="preserve">, vol. 33, no. 10, pp. 1962–1977, 2011, doi: 10.1109/TPAMI.2011.48.</w:t>
      </w:r>
    </w:p>
    <w:p>
      <w:pPr>
        <w:pStyle w:val="IEEEReference"/>
      </w:pPr>
      <w:r>
        <w:t xml:space="preserve">[35]</w:t>
        <w:tab/>
      </w:r>
      <w:r>
        <w:t xml:space="preserve">P. Drozdowski, C. Rathgeb, A. Dantcheva, N. Damer, and C. Busch,</w:t>
      </w:r>
      <w:r>
        <w:t xml:space="preserve"> </w:t>
      </w:r>
      <w:r>
        <w:t xml:space="preserve">“Demographic bias in biometrics: A survey on an emerging challenge,”</w:t>
      </w:r>
      <w:r>
        <w:t xml:space="preserve"> </w:t>
      </w:r>
      <w:r>
        <w:rPr>
          <w:i/>
          <w:iCs/>
        </w:rPr>
        <w:t xml:space="preserve">IEEE Trans. Technol. Soc.</w:t>
      </w:r>
      <w:r>
        <w:t xml:space="preserve">, vol. 1, no. 2, pp. 89–103, 2020, doi: 10.1109/TTS.2020.2992344.</w:t>
      </w:r>
    </w:p>
    <w:bookmarkEnd w:id="42"/>
    <w:sectPr>
      <w:type w:val="continuous"/>
      <w:pgSz w:w="12240" w:h="15840"/>
      <w:pgMar w:top="1080" w:right="965" w:bottom="1080" w:left="965" w:header="580" w:footer="580" w:gutter="0"/>
      <w:cols w:num="2" w:space="2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t xml:space="preserve">Affiliation: Department of Computer Science and Engineering, Institution Name, City, Country. Contact: author@example.edu.</w:t>
      </w:r>
    </w:p>
    <w:p>
      <w:pPr>
        <w:pStyle w:val="FootnoteText"/>
      </w:pPr>
      <w:r>
        <w:t xml:space="preserve">This article has supplementary material provided by the authors (Figs. S1–S8, Tables S1–S5 and Algorithm S1). The source code and experiment scripts are available from the corresponding author on request.</w:t>
      </w:r>
    </w:p>
  </w:footnote>
  <w:footnote w:id="24">
    <w:p>
      <w:pPr>
        <w:pStyle w:val="FootnoteText"/>
      </w:pPr>
      <w:r>
        <w:rPr>
          <w:rStyle w:val="FootnoteReference"/>
        </w:rPr>
        <w:footnoteRef/>
      </w:r>
      <w:r>
        <w:t xml:space="preserve"> </w:t>
      </w:r>
      <w:r>
        <w:t xml:space="preserve">License terms as stated at</w:t>
      </w:r>
      <w:r>
        <w:t xml:space="preserve"> </w:t>
      </w:r>
      <w:hyperlink r:id="rId25">
        <w:r>
          <w:rPr>
            <w:rStyle w:val="Hyperlink"/>
          </w:rPr>
          <w:t xml:space="preserve">https://github.com/opencv/opencv_zoo</w:t>
        </w:r>
      </w:hyperlink>
      <w:r>
        <w:t xml:space="preserve"> </w:t>
      </w:r>
      <w:r>
        <w:t xml:space="preserve">(SFace, Apache 2.0) and</w:t>
      </w:r>
      <w:r>
        <w:t xml:space="preserve"> </w:t>
      </w:r>
      <w:hyperlink r:id="rId26">
        <w:r>
          <w:rPr>
            <w:rStyle w:val="Hyperlink"/>
          </w:rPr>
          <w:t xml:space="preserve">https://github.com/deepinsight/insightface</w:t>
        </w:r>
      </w:hyperlink>
      <w:r>
        <w:t xml:space="preserve"> </w:t>
      </w:r>
      <w:r>
        <w:t xml:space="preserve">(model zoo, non-commercial research purposes only), accessed Oct. 1, 2026.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310" w:val="right"/>
      </w:tabs>
    </w:pPr>
    <w:r>
      <w:rPr>
        <w:rFonts w:ascii="Times New Roman" w:hAnsi="Times New Roman"/>
        <w:sz w:val="14"/>
      </w:rPr>
      <w:t>FACEGUARD: CONTINUOUS FACE AUTHENTICATION WITH A HOMOGRAPHY-PARALLAX LIVENESS CUE</w:t>
    </w:r>
    <w:r>
      <w:tab/>
    </w:r>
    <w:fldSimple w:instr="PAGE">
      <w:r>
        <w:rPr>
          <w:sz w:val="16"/>
        </w:rPr>
        <w:t>1</w:t>
      </w:r>
    </w:fldSimpl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360" w:hanging="260"/>
      </w:pPr>
    </w:lvl>
    <w:lvl w:ilvl="1">
      <w:numFmt w:val="bullet"/>
      <w:lvlText w:val=" "/>
      <w:lvlJc w:val="left"/>
      <w:pPr>
        <w:ind w:left="720" w:hanging="260"/>
      </w:pPr>
    </w:lvl>
    <w:lvl w:ilvl="2">
      <w:numFmt w:val="bullet"/>
      <w:lvlText w:val=" "/>
      <w:lvlJc w:val="left"/>
      <w:pPr>
        <w:ind w:left="1080" w:hanging="260"/>
      </w:pPr>
    </w:lvl>
    <w:lvl w:ilvl="3">
      <w:numFmt w:val="bullet"/>
      <w:lvlText w:val=" "/>
      <w:lvlJc w:val="left"/>
      <w:pPr>
        <w:ind w:left="1440" w:hanging="260"/>
      </w:pPr>
    </w:lvl>
    <w:lvl w:ilvl="4">
      <w:numFmt w:val="bullet"/>
      <w:lvlText w:val=" "/>
      <w:lvlJc w:val="left"/>
      <w:pPr>
        <w:ind w:left="1800" w:hanging="260"/>
      </w:pPr>
    </w:lvl>
    <w:lvl w:ilvl="5">
      <w:numFmt w:val="bullet"/>
      <w:lvlText w:val=" "/>
      <w:lvlJc w:val="left"/>
      <w:pPr>
        <w:ind w:left="2160" w:hanging="260"/>
      </w:pPr>
    </w:lvl>
    <w:lvl w:ilvl="6">
      <w:numFmt w:val="bullet"/>
      <w:lvlText w:val=" "/>
      <w:lvlJc w:val="left"/>
      <w:pPr>
        <w:ind w:left="2520" w:hanging="260"/>
      </w:pPr>
    </w:lvl>
    <w:lvl w:ilvl="7">
      <w:numFmt w:val="bullet"/>
      <w:lvlText w:val=" "/>
      <w:lvlJc w:val="left"/>
      <w:pPr>
        <w:ind w:left="2880" w:hanging="260"/>
      </w:pPr>
    </w:lvl>
    <w:lvl w:ilvl="8">
      <w:numFmt w:val="bullet"/>
      <w:lvlText w:val=" "/>
      <w:lvlJc w:val="left"/>
      <w:pPr>
        <w:ind w:left="3240" w:hanging="260"/>
      </w:pPr>
    </w:lvl>
  </w:abstractNum>
  <w:abstractNum w:abstractNumId="99201">
    <w:nsid w:val="00A99201"/>
    <w:multiLevelType w:val="multilevel"/>
    <w:lvl w:ilvl="0">
      <w:start w:val="1"/>
      <w:numFmt w:val="decimal"/>
      <w:lvlText w:val="%1)"/>
      <w:lvlJc w:val="left"/>
      <w:pPr>
        <w:ind w:left="360" w:hanging="260"/>
      </w:pPr>
    </w:lvl>
    <w:lvl w:ilvl="1">
      <w:start w:val="1"/>
      <w:numFmt w:val="lowerLetter"/>
      <w:lvlText w:val="%2."/>
      <w:lvlJc w:val="left"/>
      <w:pPr>
        <w:ind w:left="720" w:hanging="260"/>
      </w:pPr>
    </w:lvl>
    <w:lvl w:ilvl="2">
      <w:start w:val="1"/>
      <w:numFmt w:val="lowerRoman"/>
      <w:lvlText w:val="%3."/>
      <w:lvlJc w:val="left"/>
      <w:pPr>
        <w:ind w:left="1080" w:hanging="260"/>
      </w:pPr>
    </w:lvl>
    <w:lvl w:ilvl="3">
      <w:start w:val="1"/>
      <w:numFmt w:val="decimal"/>
      <w:lvlText w:val="%4."/>
      <w:lvlJc w:val="left"/>
      <w:pPr>
        <w:ind w:left="1440" w:hanging="260"/>
      </w:pPr>
    </w:lvl>
    <w:lvl w:ilvl="4">
      <w:start w:val="1"/>
      <w:numFmt w:val="lowerLetter"/>
      <w:lvlText w:val="%5."/>
      <w:lvlJc w:val="left"/>
      <w:pPr>
        <w:ind w:left="1800" w:hanging="260"/>
      </w:pPr>
    </w:lvl>
    <w:lvl w:ilvl="5">
      <w:start w:val="1"/>
      <w:numFmt w:val="lowerRoman"/>
      <w:lvlText w:val="%6."/>
      <w:lvlJc w:val="left"/>
      <w:pPr>
        <w:ind w:left="2160" w:hanging="260"/>
      </w:pPr>
    </w:lvl>
    <w:lvl w:ilvl="6">
      <w:start w:val="1"/>
      <w:numFmt w:val="decimal"/>
      <w:lvlText w:val="%7."/>
      <w:lvlJc w:val="left"/>
      <w:pPr>
        <w:ind w:left="2520" w:hanging="260"/>
      </w:pPr>
    </w:lvl>
    <w:lvl w:ilvl="7">
      <w:start w:val="1"/>
      <w:numFmt w:val="lowerLetter"/>
      <w:lvlText w:val="%8."/>
      <w:lvlJc w:val="left"/>
      <w:pPr>
        <w:ind w:left="2880" w:hanging="260"/>
      </w:pPr>
    </w:lvl>
    <w:lvl w:ilvl="8">
      <w:start w:val="1"/>
      <w:numFmt w:val="lowerRoman"/>
      <w:lvlText w:val="%9."/>
      <w:lvlJc w:val="left"/>
      <w:pPr>
        <w:ind w:left="3240" w:hanging="260"/>
      </w:pPr>
    </w:lvl>
  </w:abstractNum>
  <w:abstractNum w:abstractNumId="991">
    <w:nsid w:val="0000A991"/>
    <w:multiLevelType w:val="multilevel"/>
    <w:lvl w:ilvl="0">
      <w:numFmt w:val="bullet"/>
      <w:lvlText w:val=""/>
      <w:lvlJc w:val="left"/>
      <w:pPr>
        <w:ind w:left="360" w:hanging="260"/>
      </w:pPr>
      <w:rPr>
        <w:rFonts w:ascii="Symbol" w:hAnsi="Symbol" w:cs="Symbol" w:hint="default"/>
      </w:rPr>
    </w:lvl>
    <w:lvl w:ilvl="1">
      <w:numFmt w:val="bullet"/>
      <w:lvlText w:val="o"/>
      <w:lvlJc w:val="left"/>
      <w:pPr>
        <w:ind w:left="720" w:hanging="260"/>
      </w:pPr>
      <w:rPr>
        <w:rFonts w:ascii="Courier New" w:hAnsi="Courier New" w:cs="Courier New" w:hint="default"/>
      </w:rPr>
    </w:lvl>
    <w:lvl w:ilvl="2">
      <w:numFmt w:val="bullet"/>
      <w:lvlText w:val=""/>
      <w:lvlJc w:val="left"/>
      <w:pPr>
        <w:ind w:left="1080" w:hanging="260"/>
      </w:pPr>
      <w:rPr>
        <w:rFonts w:ascii="Wingdings" w:hAnsi="Wingdings" w:cs="Wingdings" w:hint="default"/>
      </w:rPr>
    </w:lvl>
    <w:lvl w:ilvl="3">
      <w:numFmt w:val="bullet"/>
      <w:lvlText w:val=""/>
      <w:lvlJc w:val="left"/>
      <w:pPr>
        <w:ind w:left="1440" w:hanging="260"/>
      </w:pPr>
      <w:rPr>
        <w:rFonts w:ascii="Symbol" w:hAnsi="Symbol" w:cs="Symbol" w:hint="default"/>
      </w:rPr>
    </w:lvl>
    <w:lvl w:ilvl="4">
      <w:numFmt w:val="bullet"/>
      <w:lvlText w:val="o"/>
      <w:lvlJc w:val="left"/>
      <w:pPr>
        <w:ind w:left="1800" w:hanging="260"/>
      </w:pPr>
      <w:rPr>
        <w:rFonts w:ascii="Courier New" w:hAnsi="Courier New" w:cs="Courier New" w:hint="default"/>
      </w:rPr>
    </w:lvl>
    <w:lvl w:ilvl="5">
      <w:numFmt w:val="bullet"/>
      <w:lvlText w:val=""/>
      <w:lvlJc w:val="left"/>
      <w:pPr>
        <w:ind w:left="2160" w:hanging="260"/>
      </w:pPr>
      <w:rPr>
        <w:rFonts w:ascii="Wingdings" w:hAnsi="Wingdings" w:cs="Wingdings" w:hint="default"/>
      </w:rPr>
    </w:lvl>
    <w:lvl w:ilvl="6">
      <w:numFmt w:val="bullet"/>
      <w:lvlText w:val=""/>
      <w:lvlJc w:val="left"/>
      <w:pPr>
        <w:ind w:left="2520" w:hanging="260"/>
      </w:pPr>
      <w:rPr>
        <w:rFonts w:ascii="Symbol" w:hAnsi="Symbol" w:cs="Symbol" w:hint="default"/>
      </w:rPr>
    </w:lvl>
    <w:lvl w:ilvl="7">
      <w:numFmt w:val="bullet"/>
      <w:lvlText w:val="o"/>
      <w:lvlJc w:val="left"/>
      <w:pPr>
        <w:ind w:left="2880" w:hanging="260"/>
      </w:pPr>
      <w:rPr>
        <w:rFonts w:ascii="Courier New" w:hAnsi="Courier New" w:cs="Courier New" w:hint="default"/>
      </w:rPr>
    </w:lvl>
    <w:lvl w:ilvl="8">
      <w:numFmt w:val="bullet"/>
      <w:lvlText w:val=""/>
      <w:lvlJc w:val="left"/>
      <w:pPr>
        <w:ind w:left="3240" w:hanging="260"/>
      </w:pPr>
      <w:rPr>
        <w:rFonts w:ascii="Wingdings" w:hAnsi="Wingdings" w:cs="Wingdings" w:hint="default"/>
      </w:rPr>
    </w:lvl>
  </w:abstractNum>
  <w:abstractNum w:abstractNumId="99202">
    <w:multiLevelType w:val="multilevel"/>
    <w:lvl w:ilvl="0">
      <w:start w:val="1"/>
      <w:numFmt w:val="upperRoman"/>
      <w:pStyle w:val="Heading1"/>
      <w:suff w:val="space"/>
      <w:lvlText w:val="%1."/>
      <w:lvlJc w:val="left"/>
      <w:pPr>
        <w:ind w:left="0" w:firstLine="0"/>
      </w:pPr>
    </w:lvl>
    <w:lvl w:ilvl="1">
      <w:start w:val="1"/>
      <w:numFmt w:val="upperLetter"/>
      <w:pStyle w:val="Heading2"/>
      <w:suff w:val="space"/>
      <w:lvlText w:val="%2."/>
      <w:lvlJc w:val="left"/>
      <w:pPr>
        <w:ind w:left="0" w:firstLine="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0"/>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before="0" w:after="0" w:line="240" w:lineRule="auto"/>
      <w:ind w:firstLine="202" w:left="0"/>
      <w:jc w:val="both"/>
    </w:pPr>
    <w:rPr>
      <w:rFonts w:ascii="Times New Roman" w:hAnsi="Times New Roman" w:cs="Times New Roman" w:eastAsia="Times New Roman"/>
      <w:b w:val="0"/>
      <w:i w:val="0"/>
      <w:smallCaps w:val="0"/>
      <w:color w:val="000000"/>
      <w:sz w:val="20"/>
    </w:rPr>
  </w:style>
  <w:style w:styleId="BodyText" w:type="paragraph">
    <w:name w:val="Body Text"/>
    <w:basedOn w:val="Normal"/>
    <w:link w:val="BodyTextChar"/>
    <w:qFormat/>
    <w:pPr>
      <w:keepNext w:val="0"/>
      <w:widowControl/>
      <w:spacing w:after="0" w:before="0" w:line="240" w:lineRule="auto"/>
      <w:ind w:firstLine="202" w:left="0"/>
      <w:jc w:val="both"/>
    </w:pPr>
    <w:rPr>
      <w:rFonts w:ascii="Times New Roman" w:hAnsi="Times New Roman" w:cs="Times New Roman" w:eastAsia="Times New Roman"/>
      <w:b w:val="0"/>
      <w:i w:val="0"/>
      <w:smallCaps w:val="0"/>
      <w:color w:val="000000"/>
      <w:sz w:val="20"/>
    </w:rPr>
  </w:style>
  <w:style w:customStyle="1" w:styleId="FirstParagraph" w:type="paragraph">
    <w:name w:val="First Paragraph"/>
    <w:basedOn w:val="BodyText"/>
    <w:next w:val="BodyText"/>
    <w:qFormat/>
    <w:pPr>
      <w:keepNext w:val="0"/>
      <w:widowControl/>
      <w:spacing w:before="0" w:after="0" w:line="240" w:lineRule="auto"/>
      <w:ind w:firstLine="202" w:left="0"/>
      <w:jc w:val="both"/>
    </w:pPr>
    <w:rPr>
      <w:rFonts w:ascii="Times New Roman" w:hAnsi="Times New Roman" w:cs="Times New Roman" w:eastAsia="Times New Roman"/>
      <w:b w:val="0"/>
      <w:i w:val="0"/>
      <w:smallCaps w:val="0"/>
      <w:color w:val="000000"/>
      <w:sz w:val="20"/>
    </w:rPr>
  </w:style>
  <w:style w:customStyle="1" w:styleId="Compact" w:type="paragraph">
    <w:name w:val="Compact"/>
    <w:basedOn w:val="BodyText"/>
    <w:qFormat/>
    <w:pPr>
      <w:keepNext w:val="0"/>
      <w:widowControl/>
      <w:spacing w:after="0" w:before="0" w:line="240" w:lineRule="auto"/>
      <w:ind w:firstLine="0" w:left="0"/>
      <w:jc w:val="both"/>
    </w:pPr>
    <w:rPr>
      <w:rFonts w:ascii="Times New Roman" w:hAnsi="Times New Roman" w:cs="Times New Roman" w:eastAsia="Times New Roman"/>
      <w:b w:val="0"/>
      <w:i w:val="0"/>
      <w:smallCaps w:val="0"/>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widowControl/>
      <w:numPr>
        <w:ilvl w:val="0"/>
        <w:numId w:val="1003"/>
      </w:numPr>
      <w:spacing w:after="80" w:before="200" w:line="240" w:lineRule="auto"/>
      <w:ind w:left="0" w:firstLine="0"/>
      <w:jc w:val="center"/>
      <w:outlineLvl w:val="0"/>
    </w:pPr>
    <w:rPr>
      <w:rFonts w:ascii="Times New Roman" w:hAnsi="Times New Roman" w:cs="Times New Roman" w:eastAsia="Times New Roman"/>
      <w:b w:val="0"/>
      <w:i w:val="0"/>
      <w:smallCaps/>
      <w:color w:val="000000"/>
      <w:sz w:val="20"/>
      <w:szCs w:val="40"/>
    </w:rPr>
  </w:style>
  <w:style w:styleId="Heading2" w:type="paragraph">
    <w:name w:val="heading 2"/>
    <w:basedOn w:val="Normal"/>
    <w:next w:val="BodyText"/>
    <w:link w:val="Heading2Char"/>
    <w:uiPriority w:val="9"/>
    <w:semiHidden/>
    <w:unhideWhenUsed/>
    <w:qFormat/>
    <w:rsid w:val="00A10FD9"/>
    <w:pPr>
      <w:keepNext/>
      <w:keepLines/>
      <w:widowControl/>
      <w:numPr>
        <w:ilvl w:val="1"/>
        <w:numId w:val="1003"/>
      </w:numPr>
      <w:spacing w:after="60" w:before="140" w:line="240" w:lineRule="auto"/>
      <w:ind w:left="0" w:firstLine="0"/>
      <w:jc w:val="left"/>
      <w:outlineLvl w:val="1"/>
    </w:pPr>
    <w:rPr>
      <w:rFonts w:ascii="Times New Roman" w:hAnsi="Times New Roman" w:cs="Times New Roman" w:eastAsia="Times New Roman"/>
      <w:b w:val="0"/>
      <w:i/>
      <w:smallCaps w:val="0"/>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keepNext w:val="0"/>
      <w:widowControl/>
      <w:spacing w:before="0" w:after="0" w:line="240" w:lineRule="auto"/>
      <w:ind w:firstLine="173" w:left="0"/>
      <w:jc w:val="both"/>
    </w:pPr>
    <w:rPr>
      <w:rFonts w:ascii="Times New Roman" w:hAnsi="Times New Roman" w:cs="Times New Roman" w:eastAsia="Times New Roman"/>
      <w:b w:val="0"/>
      <w:i w:val="0"/>
      <w:smallCaps w:val="0"/>
      <w:color w:val="000000"/>
      <w:sz w:val="1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IEEETitle">
    <w:name w:val="IEEE Title"/>
    <w:pPr>
      <w:keepNext w:val="0"/>
      <w:widowControl/>
      <w:spacing w:before="0" w:after="120" w:line="240" w:lineRule="auto"/>
      <w:ind w:firstLine="0" w:left="0"/>
      <w:jc w:val="center"/>
    </w:pPr>
    <w:rPr>
      <w:rFonts w:ascii="Times New Roman" w:hAnsi="Times New Roman" w:cs="Times New Roman" w:eastAsia="Times New Roman"/>
      <w:b w:val="0"/>
      <w:i w:val="0"/>
      <w:smallCaps w:val="0"/>
      <w:color w:val="000000"/>
      <w:sz w:val="48"/>
    </w:rPr>
  </w:style>
  <w:style w:type="paragraph" w:customStyle="1" w:styleId="IEEEAuthors">
    <w:name w:val="IEEE Authors"/>
    <w:pPr>
      <w:keepNext w:val="0"/>
      <w:widowControl/>
      <w:spacing w:before="0" w:after="280" w:line="240" w:lineRule="auto"/>
      <w:ind w:firstLine="0" w:left="0"/>
      <w:jc w:val="center"/>
    </w:pPr>
    <w:rPr>
      <w:rFonts w:ascii="Times New Roman" w:hAnsi="Times New Roman" w:cs="Times New Roman" w:eastAsia="Times New Roman"/>
      <w:b w:val="0"/>
      <w:i w:val="0"/>
      <w:smallCaps w:val="0"/>
      <w:color w:val="000000"/>
      <w:sz w:val="22"/>
    </w:rPr>
  </w:style>
  <w:style w:type="paragraph" w:customStyle="1" w:styleId="IEEEAbstract">
    <w:name w:val="IEEE Abstract"/>
    <w:pPr>
      <w:keepNext w:val="0"/>
      <w:widowControl/>
      <w:spacing w:before="0" w:after="120" w:line="240" w:lineRule="auto"/>
      <w:ind w:firstLine="202" w:left="0"/>
      <w:jc w:val="both"/>
    </w:pPr>
    <w:rPr>
      <w:rFonts w:ascii="Times New Roman" w:hAnsi="Times New Roman" w:cs="Times New Roman" w:eastAsia="Times New Roman"/>
      <w:b/>
      <w:i w:val="0"/>
      <w:smallCaps w:val="0"/>
      <w:color w:val="000000"/>
      <w:sz w:val="18"/>
    </w:rPr>
  </w:style>
  <w:style w:type="paragraph" w:customStyle="1" w:styleId="IEEEFigureCaption">
    <w:name w:val="IEEE Figure Caption"/>
    <w:pPr>
      <w:keepNext w:val="0"/>
      <w:widowControl/>
      <w:spacing w:before="60" w:after="160" w:line="240" w:lineRule="auto"/>
      <w:ind w:firstLine="0" w:left="0"/>
      <w:jc w:val="both"/>
    </w:pPr>
    <w:rPr>
      <w:rFonts w:ascii="Times New Roman" w:hAnsi="Times New Roman" w:cs="Times New Roman" w:eastAsia="Times New Roman"/>
      <w:b w:val="0"/>
      <w:i w:val="0"/>
      <w:smallCaps w:val="0"/>
      <w:color w:val="000000"/>
      <w:sz w:val="16"/>
    </w:rPr>
  </w:style>
  <w:style w:type="paragraph" w:customStyle="1" w:styleId="IEEETableCaption">
    <w:name w:val="IEEE Table Caption"/>
    <w:pPr>
      <w:keepNext/>
      <w:widowControl/>
      <w:spacing w:before="160" w:after="60" w:line="240" w:lineRule="auto"/>
      <w:ind w:firstLine="0" w:left="0"/>
      <w:jc w:val="center"/>
    </w:pPr>
    <w:rPr>
      <w:rFonts w:ascii="Times New Roman" w:hAnsi="Times New Roman" w:cs="Times New Roman" w:eastAsia="Times New Roman"/>
      <w:b w:val="0"/>
      <w:i w:val="0"/>
      <w:smallCaps w:val="0"/>
      <w:color w:val="000000"/>
      <w:sz w:val="16"/>
    </w:rPr>
  </w:style>
  <w:style w:type="paragraph" w:customStyle="1" w:styleId="IEEETableText">
    <w:name w:val="IEEE Table Text"/>
    <w:pPr>
      <w:keepNext w:val="0"/>
      <w:widowControl/>
      <w:spacing w:before="0" w:after="0" w:line="240" w:lineRule="auto"/>
      <w:ind w:firstLine="0" w:left="0"/>
      <w:jc w:val="left"/>
    </w:pPr>
    <w:rPr>
      <w:rFonts w:ascii="Times New Roman" w:hAnsi="Times New Roman" w:cs="Times New Roman" w:eastAsia="Times New Roman"/>
      <w:b w:val="0"/>
      <w:i w:val="0"/>
      <w:smallCaps w:val="0"/>
      <w:color w:val="000000"/>
      <w:sz w:val="16"/>
    </w:rPr>
  </w:style>
  <w:style w:type="paragraph" w:customStyle="1" w:styleId="IEEETableNote">
    <w:name w:val="IEEE Table Note"/>
    <w:pPr>
      <w:keepNext w:val="0"/>
      <w:widowControl/>
      <w:spacing w:before="40" w:after="160" w:line="240" w:lineRule="auto"/>
      <w:ind w:firstLine="0" w:left="0"/>
      <w:jc w:val="left"/>
    </w:pPr>
    <w:rPr>
      <w:rFonts w:ascii="Times New Roman" w:hAnsi="Times New Roman" w:cs="Times New Roman" w:eastAsia="Times New Roman"/>
      <w:b w:val="0"/>
      <w:i w:val="0"/>
      <w:smallCaps w:val="0"/>
      <w:color w:val="000000"/>
      <w:sz w:val="14"/>
    </w:rPr>
  </w:style>
  <w:style w:type="paragraph" w:customStyle="1" w:styleId="IEEEFigure">
    <w:name w:val="IEEE Figure"/>
    <w:pPr>
      <w:keepNext/>
      <w:widowControl/>
      <w:spacing w:before="120" w:after="0" w:line="240" w:lineRule="auto"/>
      <w:ind w:firstLine="0" w:left="0"/>
      <w:jc w:val="center"/>
    </w:pPr>
    <w:rPr>
      <w:rFonts w:ascii="Times New Roman" w:hAnsi="Times New Roman" w:cs="Times New Roman" w:eastAsia="Times New Roman"/>
      <w:b w:val="0"/>
      <w:i w:val="0"/>
      <w:smallCaps w:val="0"/>
      <w:color w:val="000000"/>
      <w:sz w:val="20"/>
    </w:rPr>
  </w:style>
  <w:style w:type="paragraph" w:customStyle="1" w:styleId="IEEEReference">
    <w:name w:val="IEEE Reference"/>
    <w:pPr>
      <w:keepNext w:val="0"/>
      <w:widowControl/>
      <w:tabs>
        <w:tab w:pos="432" w:val="left"/>
      </w:tabs>
      <w:spacing w:before="0" w:after="0" w:line="240" w:lineRule="auto"/>
      <w:ind w:hanging="432" w:left="432"/>
      <w:jc w:val="both"/>
    </w:pPr>
    <w:rPr>
      <w:rFonts w:ascii="Times New Roman" w:hAnsi="Times New Roman" w:cs="Times New Roman" w:eastAsia="Times New Roman"/>
      <w:b w:val="0"/>
      <w:i w:val="0"/>
      <w:smallCaps w:val="0"/>
      <w:color w:val="000000"/>
      <w:sz w:val="16"/>
    </w:rPr>
  </w:style>
  <w:style w:type="paragraph" w:customStyle="1" w:styleId="IEEEEquation">
    <w:name w:val="IEEE Equation"/>
    <w:pPr>
      <w:keepNext w:val="0"/>
      <w:widowControl/>
      <w:spacing w:before="0" w:after="0" w:line="240" w:lineRule="auto"/>
      <w:ind w:firstLine="0" w:left="0"/>
      <w:jc w:val="center"/>
    </w:pPr>
    <w:rPr>
      <w:rFonts w:ascii="Times New Roman" w:hAnsi="Times New Roman" w:cs="Times New Roman" w:eastAsia="Times New Roman"/>
      <w:b w:val="0"/>
      <w:i w:val="0"/>
      <w:smallCaps w:val="0"/>
      <w:color w:val="000000"/>
      <w:sz w:val="20"/>
    </w:rPr>
  </w:style>
  <w:style w:type="paragraph" w:customStyle="1" w:styleId="IEEEAlgorithm">
    <w:name w:val="IEEE Algorithm"/>
    <w:pPr>
      <w:keepNext w:val="0"/>
      <w:widowControl/>
      <w:spacing w:before="0" w:after="0" w:line="240" w:lineRule="auto"/>
      <w:ind w:firstLine="0" w:left="0"/>
      <w:jc w:val="left"/>
    </w:pPr>
    <w:rPr>
      <w:rFonts w:ascii="Times New Roman" w:hAnsi="Times New Roman" w:cs="Times New Roman" w:eastAsia="Times New Roman"/>
      <w:b w:val="0"/>
      <w:i w:val="0"/>
      <w:smallCaps w:val="0"/>
      <w:color w:val="000000"/>
      <w:sz w:val="17"/>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github.com/deepinsight/insightface" TargetMode="External"/><Relationship Id="rId25" Type="http://schemas.openxmlformats.org/officeDocument/2006/relationships/hyperlink" Target="https://github.com/opencv/opencv_zoo" TargetMode="External"/><Relationship Id="rId40" Type="http://schemas.openxmlformats.org/officeDocument/2006/relationships/hyperlink" Target="https://learn.microsoft.com/en-us/windows-hardware/design/device-experiences/windows-hello-biometric-requirements" TargetMode="External"/><Relationship Id="rId41" Type="http://schemas.openxmlformats.org/officeDocument/2006/relationships/hyperlink" Target="https://learn.microsoft.com/en-us/windows/win32/api/dpapi/nf-dpapi-cryptprotectdata"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s>
</file>

<file path=word/_rels/footnotes.xml.rels><?xml version='1.0' encoding='UTF-8' standalone='yes'?>
<Relationships xmlns="http://schemas.openxmlformats.org/package/2006/relationships"><Relationship Id="rId26" Type="http://schemas.openxmlformats.org/officeDocument/2006/relationships/hyperlink" Target="https://github.com/deepinsight/insightface" TargetMode="External"/><Relationship Id="rId25" Type="http://schemas.openxmlformats.org/officeDocument/2006/relationships/hyperlink" Target="https://github.com/opencv/opencv_zoo" TargetMode="External"/><Relationship Id="rId40" Type="http://schemas.openxmlformats.org/officeDocument/2006/relationships/hyperlink" Target="https://learn.microsoft.com/en-us/windows-hardware/design/device-experiences/windows-hello-biometric-requirements" TargetMode="External"/><Relationship Id="rId41" Type="http://schemas.openxmlformats.org/officeDocument/2006/relationships/hyperlink" Target="https://learn.microsoft.com/en-us/windows/win32/api/dpapi/nf-dpapi-cryptprotect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FaceGuard: Continuous Face Authentication With a Homography-Parallax Liveness Cue for Commodity Webcams</dc:title>
  <dc:creator>FaceGuard authors</dc:creator>
  <cp:keywords/>
  <dcterms:created xsi:type="dcterms:W3CDTF">2026-10-01T13:26:06Z</dcterms:created>
  <dcterms:modified xsi:type="dcterms:W3CDTF">2026-10-01T13:26:06Z</dcterms:modified>
</cp:coreProperties>
</file>

<file path=docProps/custom.xml><?xml version="1.0" encoding="utf-8"?>
<Properties xmlns="http://schemas.openxmlformats.org/officeDocument/2006/custom-properties" xmlns:vt="http://schemas.openxmlformats.org/officeDocument/2006/docPropsVTypes"/>
</file>