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sz="0"/>
              <w:left w:val="none" w:sz="0"/>
              <w:bottom w:val="none" w:sz="0"/>
              <w:right w:val="none" w:sz="0"/>
            </w:tcBorders>
            <w:shd w:fill="0D9488" w:val="clear"/>
            <w:tcMar>
              <w:top w:type="dxa" w:w="40"/>
              <w:left w:type="dxa" w:w="0"/>
              <w:bottom w:type="dxa" w:w="40"/>
              <w:right w:type="dxa" w:w="0"/>
            </w:tcMar>
          </w:tcPr>
          <w:p>
            <w:r>
              <w:rPr>
                <w:sz w:val="8"/>
                <w:szCs w:val="8"/>
              </w:rPr>
              <w:t xml:space="preserve"> </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sz="0"/>
              <w:left w:val="none" w:sz="0"/>
              <w:bottom w:val="none" w:sz="0"/>
              <w:right w:val="none" w:sz="0"/>
            </w:tcBorders>
            <w:shd w:fill="091E36" w:val="clear"/>
            <w:tcMar>
              <w:top w:type="dxa" w:w="600"/>
              <w:left w:type="dxa" w:w="1440"/>
              <w:bottom w:type="dxa" w:w="200"/>
              <w:right w:type="dxa" w:w="1440"/>
            </w:tcMar>
          </w:tcPr>
          <w:p>
            <w:pPr>
              <w:spacing w:after="200"/>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60"/>
            </w:pPr>
            <w:r>
              <w:rPr>
                <w:rFonts w:ascii="Arial" w:cs="Arial" w:eastAsia="Arial" w:hAnsi="Arial"/>
                <w:b/>
                <w:bCs/>
                <w:color w:val="14B8A6"/>
                <w:sz w:val="18"/>
                <w:szCs w:val="18"/>
              </w:rPr>
              <w:t xml:space="preserve">FORGE CYBER DEFENSE</w:t>
            </w:r>
          </w:p>
          <w:p>
            <w:pPr>
              <w:spacing w:after="40"/>
            </w:pPr>
            <w:r>
              <w:rPr>
                <w:rFonts w:ascii="Arial" w:cs="Arial" w:eastAsia="Arial" w:hAnsi="Arial"/>
                <w:color w:val="6B7280"/>
                <w:sz w:val="14"/>
                <w:szCs w:val="14"/>
              </w:rPr>
              <w:t xml:space="preserve">W H I T E P A P E R</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sz="0"/>
              <w:left w:val="none" w:sz="0"/>
              <w:bottom w:val="none" w:sz="0"/>
              <w:right w:val="none" w:sz="0"/>
            </w:tcBorders>
            <w:shd w:fill="091E36" w:val="clear"/>
            <w:tcMar>
              <w:top w:type="dxa" w:w="100"/>
              <w:left w:type="dxa" w:w="1440"/>
              <w:bottom w:type="dxa" w:w="400"/>
              <w:right w:type="dxa" w:w="1440"/>
            </w:tcMar>
          </w:tcPr>
          <w:p>
            <w:pPr>
              <w:spacing w:after="200"/>
            </w:pPr>
            <w:r>
              <w:rPr>
                <w:rFonts w:ascii="Arial" w:cs="Arial" w:eastAsia="Arial" w:hAnsi="Arial"/>
                <w:b/>
                <w:bCs/>
                <w:color w:val="FFFFFF"/>
                <w:sz w:val="52"/>
                <w:szCs w:val="52"/>
              </w:rPr>
              <w:t xml:space="preserve">AI Governance</w:t>
            </w:r>
          </w:p>
          <w:p>
            <w:pPr>
              <w:spacing w:after="200"/>
            </w:pPr>
            <w:r>
              <w:rPr>
                <w:rFonts w:ascii="Arial" w:cs="Arial" w:eastAsia="Arial" w:hAnsi="Arial"/>
                <w:b/>
                <w:bCs/>
                <w:color w:val="14B8A6"/>
                <w:sz w:val="48"/>
                <w:szCs w:val="48"/>
              </w:rPr>
              <w:t xml:space="preserve">as a Compliance</w:t>
            </w:r>
          </w:p>
          <w:p>
            <w:pPr>
              <w:spacing w:after="200"/>
            </w:pPr>
            <w:r>
              <w:rPr>
                <w:rFonts w:ascii="Arial" w:cs="Arial" w:eastAsia="Arial" w:hAnsi="Arial"/>
                <w:b/>
                <w:bCs/>
                <w:color w:val="14B8A6"/>
                <w:sz w:val="48"/>
                <w:szCs w:val="48"/>
              </w:rPr>
              <w:t xml:space="preserve">Discipline</w:t>
            </w:r>
          </w:p>
          <w:p>
            <w:pPr>
              <w:pBdr>
                <w:top w:val="single" w:color="0D9488" w:sz="2" w:space="12"/>
              </w:pBdr>
              <w:spacing w:after="300"/>
            </w:pPr>
            <w:r>
              <w:rPr>
                <w:rFonts w:ascii="Arial" w:cs="Arial" w:eastAsia="Arial" w:hAnsi="Arial"/>
                <w:color w:val="9CA3AF"/>
                <w:sz w:val="24"/>
                <w:szCs w:val="24"/>
              </w:rPr>
              <w:t xml:space="preserve">Integrating NIST AI RMF, ISO 42001, and CTA for Regulated Organizations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sz="0"/>
              <w:left w:val="none" w:sz="0"/>
              <w:bottom w:val="none" w:sz="0"/>
              <w:right w:val="none" w:sz="0"/>
            </w:tcBorders>
            <w:shd w:fill="0F2A4A" w:val="clear"/>
            <w:tcMar>
              <w:top w:type="dxa" w:w="300"/>
              <w:left w:type="dxa" w:w="1440"/>
              <w:bottom w:type="dxa" w:w="300"/>
              <w:right w:type="dxa" w:w="1440"/>
            </w:tcMar>
          </w:tcPr>
          <w:p>
            <w:r>
              <w:rPr>
                <w:rFonts w:ascii="Arial" w:cs="Arial" w:eastAsia="Arial" w:hAnsi="Arial"/>
                <w:color w:val="14B8A6"/>
                <w:sz w:val="20"/>
                <w:szCs w:val="20"/>
              </w:rPr>
              <w:t xml:space="preserve">www.forgecyberdefense.com</w:t>
            </w:r>
            <w:r>
              <w:rPr>
                <w:rFonts w:ascii="Arial" w:cs="Arial" w:eastAsia="Arial" w:hAnsi="Arial"/>
                <w:color w:val="4B5563"/>
                <w:sz w:val="20"/>
                <w:szCs w:val="20"/>
              </w:rPr>
              <w:t xml:space="preserve">     |     </w:t>
            </w:r>
            <w:r>
              <w:rPr>
                <w:rFonts w:ascii="Arial" w:cs="Arial" w:eastAsia="Arial" w:hAnsi="Arial"/>
                <w:color w:val="9CA3AF"/>
                <w:sz w:val="20"/>
                <w:szCs w:val="20"/>
              </w:rPr>
              <w:t xml:space="preserve">NIST AI RMF  •  ISO 42001  •  EU AI Act  •  Colorado SB 21-169</w:t>
            </w:r>
          </w:p>
        </w:tc>
      </w:tr>
    </w:tbl>
    <w:p>
      <w:pPr>
        <w:sectPr>
          <w:pgSz w:w="12240" w:h="15840" w:orient="portrait"/>
          <w:pgMar w:top="0" w:right="0" w:bottom="0" w:left="0" w:header="708" w:footer="708" w:gutter="0"/>
          <w:pgNumType/>
          <w:docGrid w:linePitch="360"/>
        </w:sectPr>
      </w:pPr>
    </w:p>
    <w:p>
      <w:pPr>
        <w:pStyle w:val="Heading1"/>
        <w:spacing w:after="200" w:before="360"/>
      </w:pPr>
      <w:r>
        <w:rPr>
          <w:rFonts w:ascii="Arial" w:cs="Arial" w:eastAsia="Arial" w:hAnsi="Arial"/>
          <w:b/>
          <w:bCs/>
          <w:color w:val="0F2A4A"/>
          <w:sz w:val="32"/>
          <w:szCs w:val="32"/>
        </w:rPr>
        <w:t xml:space="preserve">Executive Summary</w:t>
      </w:r>
    </w:p>
    <w:p>
      <w:pPr>
        <w:spacing w:after="140"/>
      </w:pPr>
      <w:r>
        <w:rPr>
          <w:rFonts w:ascii="Arial" w:cs="Arial" w:eastAsia="Arial" w:hAnsi="Arial"/>
          <w:color w:val="1F2937"/>
          <w:sz w:val="21"/>
          <w:szCs w:val="21"/>
        </w:rPr>
        <w:t xml:space="preserve">Artificial intelligence is no longer experimental technology confined to innovation labs. AI systems now power clinical decision support in hospitals, automate fraud detection in financial services, screen job candidates, process government benefits, and make recommendations that affect millions of lives daily. This operational reality has triggered an unprecedented wave of governance requirements.</w:t>
      </w:r>
    </w:p>
    <w:p>
      <w:pPr>
        <w:spacing w:after="140"/>
      </w:pPr>
      <w:r>
        <w:rPr>
          <w:rFonts w:ascii="Arial" w:cs="Arial" w:eastAsia="Arial" w:hAnsi="Arial"/>
          <w:color w:val="1F2937"/>
          <w:sz w:val="21"/>
          <w:szCs w:val="21"/>
        </w:rPr>
        <w:t xml:space="preserve">The NIST AI Risk Management Framework (AI RMF) provides the foundational structure for responsible AI governance. ISO/IEC 42001 establishes the first certifiable international standard for AI Management Systems. The EU AI Act introduces enforceable, risk-based regulation with high-risk AI requirements fully applicable by August 2026. At the state level, laws like Colorado’s SB 21-169 mandate algorithmic impact assessments and bias testing for high-risk AI systems. Federal agencies face OMB mandates requiring documented AI governance programs with specific accountability structures.</w:t>
      </w:r>
    </w:p>
    <w:p>
      <w:pPr>
        <w:spacing w:after="140"/>
      </w:pPr>
      <w:r>
        <w:rPr>
          <w:rFonts w:ascii="Arial" w:cs="Arial" w:eastAsia="Arial" w:hAnsi="Arial"/>
          <w:color w:val="1F2937"/>
          <w:sz w:val="21"/>
          <w:szCs w:val="21"/>
        </w:rPr>
        <w:t xml:space="preserve">For organizations already navigating FedRAMP, CMMC, FISMA, and HIPAA, AI governance represents a new compliance domain that must be integrated — not managed in isolation. This whitepaper demonstrates how Continuous Trust &amp; Assurance (CTA) extends to AI governance, treating AI risk management with the same validated, evidence-based rigor that CTA applies to traditional security controls. The result is unified governance across cybersecurity and AI — managed through a single assurance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D9488" w:sz="6"/>
              <w:bottom w:val="single" w:color="E5E7EB" w:sz="1"/>
              <w:right w:val="single" w:color="E5E7EB" w:sz="1"/>
            </w:tcBorders>
            <w:shd w:fill="F0FDFA" w:val="clear"/>
            <w:tcMar>
              <w:top w:type="dxa" w:w="160"/>
              <w:left w:type="dxa" w:w="240"/>
              <w:bottom w:type="dxa" w:w="160"/>
              <w:right w:type="dxa" w:w="200"/>
            </w:tcMar>
          </w:tcPr>
          <w:p>
            <w:pPr>
              <w:spacing w:after="80"/>
            </w:pPr>
            <w:r>
              <w:rPr>
                <w:rFonts w:ascii="Arial" w:cs="Arial" w:eastAsia="Arial" w:hAnsi="Arial"/>
                <w:b/>
                <w:bCs/>
                <w:color w:val="0F2A4A"/>
                <w:sz w:val="21"/>
                <w:szCs w:val="21"/>
              </w:rPr>
              <w:t xml:space="preserve">Key Insight</w:t>
            </w:r>
          </w:p>
          <w:p>
            <w:r>
              <w:rPr>
                <w:rFonts w:ascii="Arial" w:cs="Arial" w:eastAsia="Arial" w:hAnsi="Arial"/>
                <w:i/>
                <w:iCs/>
                <w:color w:val="4B5563"/>
                <w:sz w:val="20"/>
                <w:szCs w:val="20"/>
              </w:rPr>
              <w:t xml:space="preserve">AI governance is not a separate program from cybersecurity compliance. It’s an extension of it. Organizations that treat them as unified disciplines under CTA will move faster, spend less, and demonstrate stronger assurance than those managing parallel silos.</w:t>
            </w:r>
          </w:p>
        </w:tc>
      </w:tr>
    </w:tbl>
    <w:p>
      <w:r>
        <w:br w:type="page"/>
      </w:r>
    </w:p>
    <w:p>
      <w:pPr>
        <w:pStyle w:val="Heading1"/>
        <w:spacing w:after="200" w:before="360"/>
      </w:pPr>
      <w:r>
        <w:rPr>
          <w:rFonts w:ascii="Arial" w:cs="Arial" w:eastAsia="Arial" w:hAnsi="Arial"/>
          <w:b/>
          <w:bCs/>
          <w:color w:val="0F2A4A"/>
          <w:sz w:val="32"/>
          <w:szCs w:val="32"/>
        </w:rPr>
        <w:t xml:space="preserve">1. The AI Governance Imperative</w:t>
      </w:r>
    </w:p>
    <w:p>
      <w:pPr>
        <w:spacing w:after="140"/>
      </w:pPr>
      <w:r>
        <w:rPr>
          <w:rFonts w:ascii="Arial" w:cs="Arial" w:eastAsia="Arial" w:hAnsi="Arial"/>
          <w:color w:val="1F2937"/>
          <w:sz w:val="21"/>
          <w:szCs w:val="21"/>
        </w:rPr>
        <w:t xml:space="preserve">The regulatory landscape for AI governance is evolving faster than most organizations can adapt. Unlike cybersecurity frameworks that matured over decades, AI governance requirements are converging simultaneously across federal, state, international, and industry-specific mandates.</w:t>
      </w:r>
    </w:p>
    <w:p>
      <w:pPr>
        <w:pStyle w:val="Heading2"/>
        <w:spacing w:after="160" w:before="280"/>
      </w:pPr>
      <w:r>
        <w:rPr>
          <w:rFonts w:ascii="Arial" w:cs="Arial" w:eastAsia="Arial" w:hAnsi="Arial"/>
          <w:b/>
          <w:bCs/>
          <w:color w:val="0F2A4A"/>
          <w:sz w:val="26"/>
          <w:szCs w:val="26"/>
        </w:rPr>
        <w:t xml:space="preserve">1.1 Federal AI Governance Requirements</w:t>
      </w:r>
    </w:p>
    <w:p>
      <w:pPr>
        <w:spacing w:after="140"/>
      </w:pPr>
      <w:r>
        <w:rPr>
          <w:rFonts w:ascii="Arial" w:cs="Arial" w:eastAsia="Arial" w:hAnsi="Arial"/>
          <w:color w:val="1F2937"/>
          <w:sz w:val="21"/>
          <w:szCs w:val="21"/>
        </w:rPr>
        <w:t xml:space="preserve">Federal agencies and their technology partners face binding requirements for AI governance. OMB Memoranda M-25-21 and M-25-22 establish requirements for AI governance structures, including designated Chief AI Officers, AI use case inventories, risk assessment processes, and procurement safeguards. The NIST AI RMF provides the operational framework through four core functions: Govern, Map, Measure, and Manage. For organizations in the federal ecosystem, alignment with NIST AI RMF is rapidly becoming a de facto requirement for contracts and authorizations.</w:t>
      </w:r>
    </w:p>
    <w:p>
      <w:pPr>
        <w:pStyle w:val="Heading2"/>
        <w:spacing w:after="160" w:before="280"/>
      </w:pPr>
      <w:r>
        <w:rPr>
          <w:rFonts w:ascii="Arial" w:cs="Arial" w:eastAsia="Arial" w:hAnsi="Arial"/>
          <w:b/>
          <w:bCs/>
          <w:color w:val="0F2A4A"/>
          <w:sz w:val="26"/>
          <w:szCs w:val="26"/>
        </w:rPr>
        <w:t xml:space="preserve">1.2 International Standards: ISO 42001</w:t>
      </w:r>
    </w:p>
    <w:p>
      <w:pPr>
        <w:spacing w:after="140"/>
      </w:pPr>
      <w:r>
        <w:rPr>
          <w:rFonts w:ascii="Arial" w:cs="Arial" w:eastAsia="Arial" w:hAnsi="Arial"/>
          <w:color w:val="1F2937"/>
          <w:sz w:val="21"/>
          <w:szCs w:val="21"/>
        </w:rPr>
        <w:t xml:space="preserve">ISO/IEC 42001 is the first certifiable international standard for AI Management Systems (AIMS). Unlike the voluntary NIST AI RMF, ISO 42001 provides a certification pathway, enabling organizations to demonstrate AI governance through third-party audit. The standard follows the familiar Plan-Do-Check-Act structure of ISO 27001, making it accessible to organizations with existing information security management systems. For organizations operating internationally or pursuing global AI deployments, ISO 42001 certification is becoming a competitive differentiator and increasingly a procurement requirement.</w:t>
      </w:r>
    </w:p>
    <w:p>
      <w:pPr>
        <w:pStyle w:val="Heading2"/>
        <w:spacing w:after="160" w:before="280"/>
      </w:pPr>
      <w:r>
        <w:rPr>
          <w:rFonts w:ascii="Arial" w:cs="Arial" w:eastAsia="Arial" w:hAnsi="Arial"/>
          <w:b/>
          <w:bCs/>
          <w:color w:val="0F2A4A"/>
          <w:sz w:val="26"/>
          <w:szCs w:val="26"/>
        </w:rPr>
        <w:t xml:space="preserve">1.3 The EU AI Act</w:t>
      </w:r>
    </w:p>
    <w:p>
      <w:pPr>
        <w:spacing w:after="140"/>
      </w:pPr>
      <w:r>
        <w:rPr>
          <w:rFonts w:ascii="Arial" w:cs="Arial" w:eastAsia="Arial" w:hAnsi="Arial"/>
          <w:color w:val="1F2937"/>
          <w:sz w:val="21"/>
          <w:szCs w:val="21"/>
        </w:rPr>
        <w:t xml:space="preserve">The EU AI Act represents the world’s first comprehensive enforceable AI regulation. High-risk AI system requirements become fully applicable in August 2026, requiring risk management systems, data governance, technical documentation, transparency measures, human oversight, and post-market monitoring. Even organizations not directly subject to EU jurisdiction face its influence through customer expectations, supply chain requirements, and the global trend toward similar regulation.</w:t>
      </w:r>
    </w:p>
    <w:p>
      <w:pPr>
        <w:pStyle w:val="Heading2"/>
        <w:spacing w:after="160" w:before="280"/>
      </w:pPr>
      <w:r>
        <w:rPr>
          <w:rFonts w:ascii="Arial" w:cs="Arial" w:eastAsia="Arial" w:hAnsi="Arial"/>
          <w:b/>
          <w:bCs/>
          <w:color w:val="0F2A4A"/>
          <w:sz w:val="26"/>
          <w:szCs w:val="26"/>
        </w:rPr>
        <w:t xml:space="preserve">1.4 State-Level AI Regulation</w:t>
      </w:r>
    </w:p>
    <w:p>
      <w:pPr>
        <w:spacing w:after="140"/>
      </w:pPr>
      <w:r>
        <w:rPr>
          <w:rFonts w:ascii="Arial" w:cs="Arial" w:eastAsia="Arial" w:hAnsi="Arial"/>
          <w:color w:val="1F2937"/>
          <w:sz w:val="21"/>
          <w:szCs w:val="21"/>
        </w:rPr>
        <w:t xml:space="preserve">At the state level, AI governance requirements are proliferating rapidly. Colorado’s SB 21-169 mandates algorithmic impact assessments and bias testing for high-risk AI systems used in consequential decisions. Texas, California, Illinois, Utah, and New York City have enacted or are advancing AI-specific regulations. For organizations operating across multiple states, this patchwork creates compliance complexity that demands systematic governance rather than ad hoc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D9488" w:sz="6"/>
              <w:bottom w:val="single" w:color="E5E7EB" w:sz="1"/>
              <w:right w:val="single" w:color="E5E7EB" w:sz="1"/>
            </w:tcBorders>
            <w:shd w:fill="F0FDFA" w:val="clear"/>
            <w:tcMar>
              <w:top w:type="dxa" w:w="160"/>
              <w:left w:type="dxa" w:w="240"/>
              <w:bottom w:type="dxa" w:w="160"/>
              <w:right w:type="dxa" w:w="200"/>
            </w:tcMar>
          </w:tcPr>
          <w:p>
            <w:pPr>
              <w:spacing w:after="80"/>
            </w:pPr>
            <w:r>
              <w:rPr>
                <w:rFonts w:ascii="Arial" w:cs="Arial" w:eastAsia="Arial" w:hAnsi="Arial"/>
                <w:b/>
                <w:bCs/>
                <w:color w:val="0F2A4A"/>
                <w:sz w:val="21"/>
                <w:szCs w:val="21"/>
              </w:rPr>
              <w:t xml:space="preserve">The Convergence Challenge</w:t>
            </w:r>
          </w:p>
          <w:p>
            <w:r>
              <w:rPr>
                <w:rFonts w:ascii="Arial" w:cs="Arial" w:eastAsia="Arial" w:hAnsi="Arial"/>
                <w:i/>
                <w:iCs/>
                <w:color w:val="4B5563"/>
                <w:sz w:val="20"/>
                <w:szCs w:val="20"/>
              </w:rPr>
              <w:t xml:space="preserve">An organization operating AI in healthcare under HIPAA, serving federal clients under FedRAMP, pursuing international markets under ISO 42001, and deploying in Colorado faces five simultaneous AI governance frameworks. Without unified governance, this is unmanageable.</w:t>
            </w:r>
          </w:p>
        </w:tc>
      </w:tr>
    </w:tbl>
    <w:p>
      <w:r>
        <w:br w:type="page"/>
      </w:r>
    </w:p>
    <w:p>
      <w:pPr>
        <w:pStyle w:val="Heading1"/>
        <w:spacing w:after="200" w:before="360"/>
      </w:pPr>
      <w:r>
        <w:rPr>
          <w:rFonts w:ascii="Arial" w:cs="Arial" w:eastAsia="Arial" w:hAnsi="Arial"/>
          <w:b/>
          <w:bCs/>
          <w:color w:val="0F2A4A"/>
          <w:sz w:val="32"/>
          <w:szCs w:val="32"/>
        </w:rPr>
        <w:t xml:space="preserve">2. AI Governance Meets CTA</w:t>
      </w:r>
    </w:p>
    <w:p>
      <w:pPr>
        <w:spacing w:after="140"/>
      </w:pPr>
      <w:r>
        <w:rPr>
          <w:rFonts w:ascii="Arial" w:cs="Arial" w:eastAsia="Arial" w:hAnsi="Arial"/>
          <w:color w:val="1F2937"/>
          <w:sz w:val="21"/>
          <w:szCs w:val="21"/>
        </w:rPr>
        <w:t xml:space="preserve">Continuous Trust &amp; Assurance extends naturally to AI governance because the core challenge is identical: organizations need continuous, validated proof that their controls work — whether those controls protect network boundaries or govern AI systems.</w:t>
      </w:r>
    </w:p>
    <w:p>
      <w:pPr>
        <w:pStyle w:val="Heading2"/>
        <w:spacing w:after="160" w:before="280"/>
      </w:pPr>
      <w:r>
        <w:rPr>
          <w:rFonts w:ascii="Arial" w:cs="Arial" w:eastAsia="Arial" w:hAnsi="Arial"/>
          <w:b/>
          <w:bCs/>
          <w:color w:val="0F2A4A"/>
          <w:sz w:val="26"/>
          <w:szCs w:val="26"/>
        </w:rPr>
        <w:t xml:space="preserve">2.1 The CTA Framework Applied to AI</w:t>
      </w:r>
    </w:p>
    <w:p>
      <w:pPr>
        <w:spacing w:after="140"/>
      </w:pPr>
      <w:r>
        <w:rPr>
          <w:rFonts w:ascii="Arial" w:cs="Arial" w:eastAsia="Arial" w:hAnsi="Arial"/>
          <w:color w:val="1F2937"/>
          <w:sz w:val="21"/>
          <w:szCs w:val="21"/>
        </w:rPr>
        <w:t xml:space="preserve">The three pillars of CTA map directly to AI governance requirements:</w:t>
      </w:r>
    </w:p>
    <w:p>
      <w:pPr>
        <w:pStyle w:val="ListParagraph"/>
        <w:numPr>
          <w:ilvl w:val="0"/>
          <w:numId w:val="2"/>
        </w:numPr>
        <w:spacing w:after="80"/>
      </w:pPr>
      <w:r>
        <w:rPr>
          <w:rFonts w:ascii="Arial" w:cs="Arial" w:eastAsia="Arial" w:hAnsi="Arial"/>
          <w:b/>
          <w:bCs/>
          <w:color w:val="0D9488"/>
          <w:sz w:val="21"/>
          <w:szCs w:val="21"/>
        </w:rPr>
        <w:t xml:space="preserve">Continuous: </w:t>
      </w:r>
      <w:r>
        <w:rPr>
          <w:rFonts w:ascii="Arial" w:cs="Arial" w:eastAsia="Arial" w:hAnsi="Arial"/>
          <w:color w:val="1F2937"/>
          <w:sz w:val="21"/>
          <w:szCs w:val="21"/>
        </w:rPr>
        <w:t xml:space="preserve">AI systems require ongoing monitoring for model drift, bias emergence, performance degradation, and data quality issues. Unlike traditional software, AI behavior changes over time even without code changes. Governance must be continuous, not periodic.</w:t>
      </w:r>
    </w:p>
    <w:p>
      <w:pPr>
        <w:pStyle w:val="ListParagraph"/>
        <w:numPr>
          <w:ilvl w:val="0"/>
          <w:numId w:val="2"/>
        </w:numPr>
        <w:spacing w:after="80"/>
      </w:pPr>
      <w:r>
        <w:rPr>
          <w:rFonts w:ascii="Arial" w:cs="Arial" w:eastAsia="Arial" w:hAnsi="Arial"/>
          <w:b/>
          <w:bCs/>
          <w:color w:val="0D9488"/>
          <w:sz w:val="21"/>
          <w:szCs w:val="21"/>
        </w:rPr>
        <w:t xml:space="preserve">Trust: </w:t>
      </w:r>
      <w:r>
        <w:rPr>
          <w:rFonts w:ascii="Arial" w:cs="Arial" w:eastAsia="Arial" w:hAnsi="Arial"/>
          <w:color w:val="1F2937"/>
          <w:sz w:val="21"/>
          <w:szCs w:val="21"/>
        </w:rPr>
        <w:t xml:space="preserve">Trust in AI systems is earned through validated evidence — documented risk assessments, algorithmic impact evaluations, bias testing results, and explainability artifacts. Multi-framework mapping ensures a single governance program satisfies NIST AI RMF, ISO 42001, and regulatory requirements simultaneously.</w:t>
      </w:r>
    </w:p>
    <w:p>
      <w:pPr>
        <w:pStyle w:val="ListParagraph"/>
        <w:numPr>
          <w:ilvl w:val="0"/>
          <w:numId w:val="2"/>
        </w:numPr>
        <w:spacing w:after="80"/>
      </w:pPr>
      <w:r>
        <w:rPr>
          <w:rFonts w:ascii="Arial" w:cs="Arial" w:eastAsia="Arial" w:hAnsi="Arial"/>
          <w:b/>
          <w:bCs/>
          <w:color w:val="0D9488"/>
          <w:sz w:val="21"/>
          <w:szCs w:val="21"/>
        </w:rPr>
        <w:t xml:space="preserve">Assurance: </w:t>
      </w:r>
      <w:r>
        <w:rPr>
          <w:rFonts w:ascii="Arial" w:cs="Arial" w:eastAsia="Arial" w:hAnsi="Arial"/>
          <w:color w:val="1F2937"/>
          <w:sz w:val="21"/>
          <w:szCs w:val="21"/>
        </w:rPr>
        <w:t xml:space="preserve">AI assurance goes beyond documenting policies to testing outcomes. Does the model produce equitable results across demographic groups? Does the human override mechanism actually function? Does the incident response process activate when monitoring thresholds are breached? CTA validates these outcomes continuously.</w:t>
      </w:r>
    </w:p>
    <w:p>
      <w:pPr>
        <w:pStyle w:val="Heading2"/>
        <w:spacing w:after="160" w:before="280"/>
      </w:pPr>
      <w:r>
        <w:rPr>
          <w:rFonts w:ascii="Arial" w:cs="Arial" w:eastAsia="Arial" w:hAnsi="Arial"/>
          <w:b/>
          <w:bCs/>
          <w:color w:val="0F2A4A"/>
          <w:sz w:val="26"/>
          <w:szCs w:val="26"/>
        </w:rPr>
        <w:t xml:space="preserve">2.2 Unified Governance: Cyber + AI</w:t>
      </w:r>
    </w:p>
    <w:p>
      <w:pPr>
        <w:spacing w:after="140"/>
      </w:pPr>
      <w:r>
        <w:rPr>
          <w:rFonts w:ascii="Arial" w:cs="Arial" w:eastAsia="Arial" w:hAnsi="Arial"/>
          <w:color w:val="1F2937"/>
          <w:sz w:val="21"/>
          <w:szCs w:val="21"/>
        </w:rPr>
        <w:t xml:space="preserve">The most significant efficiency gain comes from unifying cybersecurity and AI governance under a single CTA framework. Organizations already managing FedRAMP, CMMC, or FISMA have established control libraries, assessment methodologies, evidence collection workflows, and audit preparation processes. AI governance controls can be integrated into this existing infrastructure rather than managed as a parallel program.</w:t>
      </w:r>
    </w:p>
    <w:p>
      <w:pPr>
        <w:spacing w:after="140"/>
      </w:pPr>
      <w:r>
        <w:rPr>
          <w:rFonts w:ascii="Arial" w:cs="Arial" w:eastAsia="Arial" w:hAnsi="Arial"/>
          <w:color w:val="1F2937"/>
          <w:sz w:val="21"/>
          <w:szCs w:val="21"/>
        </w:rPr>
        <w:t xml:space="preserve">For example, NIST AI RMF’s Govern function maps to the governance structures already required by NIST 800-53. The AI RMF’s Map function extends existing system categorization and boundary analysis. The Measure function adds AI-specific testing to existing continuous monitoring. And the Manage function integrates AI risk treatment into established risk management workflows.</w:t>
      </w:r>
    </w:p>
    <w:p>
      <w:pPr>
        <w:spacing w:after="140"/>
      </w:pPr>
      <w:r>
        <w:rPr>
          <w:rFonts w:ascii="Arial" w:cs="Arial" w:eastAsia="Arial" w:hAnsi="Arial"/>
          <w:color w:val="1F2937"/>
          <w:sz w:val="21"/>
          <w:szCs w:val="21"/>
        </w:rPr>
        <w:t xml:space="preserve">This unified approach eliminates duplicated governance overhead, reduces the number of separate tools and processes, and provides a single assurance view for boards and regulators across both cybersecurity and AI domains.</w:t>
      </w:r>
    </w:p>
    <w:p>
      <w:r>
        <w:br w:type="page"/>
      </w:r>
    </w:p>
    <w:p>
      <w:pPr>
        <w:pStyle w:val="Heading1"/>
        <w:spacing w:after="200" w:before="360"/>
      </w:pPr>
      <w:r>
        <w:rPr>
          <w:rFonts w:ascii="Arial" w:cs="Arial" w:eastAsia="Arial" w:hAnsi="Arial"/>
          <w:b/>
          <w:bCs/>
          <w:color w:val="0F2A4A"/>
          <w:sz w:val="32"/>
          <w:szCs w:val="32"/>
        </w:rPr>
        <w:t xml:space="preserve">3. AI Governance Framework Crosswalk</w:t>
      </w:r>
    </w:p>
    <w:p>
      <w:pPr>
        <w:spacing w:after="140"/>
      </w:pPr>
      <w:r>
        <w:rPr>
          <w:rFonts w:ascii="Arial" w:cs="Arial" w:eastAsia="Arial" w:hAnsi="Arial"/>
          <w:color w:val="1F2937"/>
          <w:sz w:val="21"/>
          <w:szCs w:val="21"/>
        </w:rPr>
        <w:t xml:space="preserve">The following crosswalk demonstrates how AI governance controls map across the major frameworks, enabling unified compliance management through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D1D5DB" w:sz="1"/>
              <w:left w:val="single" w:color="D1D5DB" w:sz="1"/>
              <w:bottom w:val="single" w:color="D1D5DB" w:sz="1"/>
              <w:right w:val="single" w:color="D1D5DB" w:sz="1"/>
            </w:tcBorders>
            <w:shd w:fill="091E36" w:val="clear"/>
            <w:tcMar>
              <w:top w:type="dxa" w:w="100"/>
              <w:left w:type="dxa" w:w="150"/>
              <w:bottom w:type="dxa" w:w="100"/>
              <w:right w:type="dxa" w:w="150"/>
            </w:tcMar>
          </w:tcPr>
          <w:p>
            <w:r>
              <w:rPr>
                <w:rFonts w:ascii="Arial" w:cs="Arial" w:eastAsia="Arial" w:hAnsi="Arial"/>
                <w:b/>
                <w:bCs/>
                <w:color w:val="FFFFFF"/>
                <w:sz w:val="20"/>
                <w:szCs w:val="20"/>
              </w:rPr>
              <w:t xml:space="preserve">AI Control</w:t>
            </w:r>
          </w:p>
        </w:tc>
        <w:tc>
          <w:tcPr>
            <w:tcW w:type="dxa" w:w="1890"/>
            <w:tcBorders>
              <w:top w:val="single" w:color="D1D5DB" w:sz="1"/>
              <w:left w:val="single" w:color="D1D5DB" w:sz="1"/>
              <w:bottom w:val="single" w:color="D1D5DB" w:sz="1"/>
              <w:right w:val="single" w:color="D1D5DB" w:sz="1"/>
            </w:tcBorders>
            <w:shd w:fill="091E36" w:val="clear"/>
            <w:tcMar>
              <w:top w:type="dxa" w:w="100"/>
              <w:left w:type="dxa" w:w="150"/>
              <w:bottom w:type="dxa" w:w="100"/>
              <w:right w:type="dxa" w:w="150"/>
            </w:tcMar>
          </w:tcPr>
          <w:p>
            <w:r>
              <w:rPr>
                <w:rFonts w:ascii="Arial" w:cs="Arial" w:eastAsia="Arial" w:hAnsi="Arial"/>
                <w:b/>
                <w:bCs/>
                <w:color w:val="FFFFFF"/>
                <w:sz w:val="20"/>
                <w:szCs w:val="20"/>
              </w:rPr>
              <w:t xml:space="preserve">NIST AI RMF</w:t>
            </w:r>
          </w:p>
        </w:tc>
        <w:tc>
          <w:tcPr>
            <w:tcW w:type="dxa" w:w="1890"/>
            <w:tcBorders>
              <w:top w:val="single" w:color="D1D5DB" w:sz="1"/>
              <w:left w:val="single" w:color="D1D5DB" w:sz="1"/>
              <w:bottom w:val="single" w:color="D1D5DB" w:sz="1"/>
              <w:right w:val="single" w:color="D1D5DB" w:sz="1"/>
            </w:tcBorders>
            <w:shd w:fill="091E36" w:val="clear"/>
            <w:tcMar>
              <w:top w:type="dxa" w:w="100"/>
              <w:left w:type="dxa" w:w="150"/>
              <w:bottom w:type="dxa" w:w="100"/>
              <w:right w:type="dxa" w:w="150"/>
            </w:tcMar>
          </w:tcPr>
          <w:p>
            <w:r>
              <w:rPr>
                <w:rFonts w:ascii="Arial" w:cs="Arial" w:eastAsia="Arial" w:hAnsi="Arial"/>
                <w:b/>
                <w:bCs/>
                <w:color w:val="FFFFFF"/>
                <w:sz w:val="20"/>
                <w:szCs w:val="20"/>
              </w:rPr>
              <w:t xml:space="preserve">ISO 42001</w:t>
            </w:r>
          </w:p>
        </w:tc>
        <w:tc>
          <w:tcPr>
            <w:tcW w:type="dxa" w:w="1890"/>
            <w:tcBorders>
              <w:top w:val="single" w:color="D1D5DB" w:sz="1"/>
              <w:left w:val="single" w:color="D1D5DB" w:sz="1"/>
              <w:bottom w:val="single" w:color="D1D5DB" w:sz="1"/>
              <w:right w:val="single" w:color="D1D5DB" w:sz="1"/>
            </w:tcBorders>
            <w:shd w:fill="091E36" w:val="clear"/>
            <w:tcMar>
              <w:top w:type="dxa" w:w="100"/>
              <w:left w:type="dxa" w:w="150"/>
              <w:bottom w:type="dxa" w:w="100"/>
              <w:right w:type="dxa" w:w="150"/>
            </w:tcMar>
          </w:tcPr>
          <w:p>
            <w:r>
              <w:rPr>
                <w:rFonts w:ascii="Arial" w:cs="Arial" w:eastAsia="Arial" w:hAnsi="Arial"/>
                <w:b/>
                <w:bCs/>
                <w:color w:val="FFFFFF"/>
                <w:sz w:val="20"/>
                <w:szCs w:val="20"/>
              </w:rPr>
              <w:t xml:space="preserve">EU AI Act</w:t>
            </w:r>
          </w:p>
        </w:tc>
        <w:tc>
          <w:tcPr>
            <w:tcW w:type="dxa" w:w="1890"/>
            <w:tcBorders>
              <w:top w:val="single" w:color="D1D5DB" w:sz="1"/>
              <w:left w:val="single" w:color="D1D5DB" w:sz="1"/>
              <w:bottom w:val="single" w:color="D1D5DB" w:sz="1"/>
              <w:right w:val="single" w:color="D1D5DB" w:sz="1"/>
            </w:tcBorders>
            <w:shd w:fill="091E36" w:val="clear"/>
            <w:tcMar>
              <w:top w:type="dxa" w:w="100"/>
              <w:left w:type="dxa" w:w="150"/>
              <w:bottom w:type="dxa" w:w="100"/>
              <w:right w:type="dxa" w:w="150"/>
            </w:tcMar>
          </w:tcPr>
          <w:p>
            <w:r>
              <w:rPr>
                <w:rFonts w:ascii="Arial" w:cs="Arial" w:eastAsia="Arial" w:hAnsi="Arial"/>
                <w:b/>
                <w:bCs/>
                <w:color w:val="FFFFFF"/>
                <w:sz w:val="20"/>
                <w:szCs w:val="20"/>
              </w:rPr>
              <w:t xml:space="preserve">CTA Validation</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0D9488"/>
                <w:sz w:val="19"/>
                <w:szCs w:val="19"/>
              </w:rPr>
              <w:t xml:space="preserve">AI Inventory</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MAP 1.1-1.6</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A.6.2.2-2.4</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Art. 9(1)</w:t>
            </w:r>
          </w:p>
        </w:tc>
        <w:tc>
          <w:tcPr>
            <w:tcW w:type="dxa" w:w="189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Automated asset discovery, classification validation</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0D9488"/>
                <w:sz w:val="19"/>
                <w:szCs w:val="19"/>
              </w:rPr>
              <w:t xml:space="preserve">Risk Assessment</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MAP 2.1-2.3, MEASURE</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A.6.2.5, A.6.4</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Art. 9(2-8)</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Continuous risk scoring, drift detection</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0D9488"/>
                <w:sz w:val="19"/>
                <w:szCs w:val="19"/>
              </w:rPr>
              <w:t xml:space="preserve">Bias &amp; Fairness</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MEASURE 2.6-2.11</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A.6.2.6</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Art. 10(2f)</w:t>
            </w:r>
          </w:p>
        </w:tc>
        <w:tc>
          <w:tcPr>
            <w:tcW w:type="dxa" w:w="189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Automated bias testing, demographic parity monitoring</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0D9488"/>
                <w:sz w:val="19"/>
                <w:szCs w:val="19"/>
              </w:rPr>
              <w:t xml:space="preserve">Data Governance</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MAP 2.3, MANAGE</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A.6.2.4, A.8</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Art. 10</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Data quality validation, lineage tracking</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0D9488"/>
                <w:sz w:val="19"/>
                <w:szCs w:val="19"/>
              </w:rPr>
              <w:t xml:space="preserve">Human Oversight</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GOVERN 1.3-1.7</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A.6.2.7</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Art. 14</w:t>
            </w:r>
          </w:p>
        </w:tc>
        <w:tc>
          <w:tcPr>
            <w:tcW w:type="dxa" w:w="189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Override mechanism testing, escalation validation</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0D9488"/>
                <w:sz w:val="19"/>
                <w:szCs w:val="19"/>
              </w:rPr>
              <w:t xml:space="preserve">Monitoring</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MANAGE 4.1-4.3</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A.6.2.8, A.9</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Art. 9(9)</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Performance drift, concept drift, bias emergence alerts</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0D9488"/>
                <w:sz w:val="19"/>
                <w:szCs w:val="19"/>
              </w:rPr>
              <w:t xml:space="preserve">Incident Mgmt</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MANAGE 3.1-3.2</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A.10.3</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Art. 62</w:t>
            </w:r>
          </w:p>
        </w:tc>
        <w:tc>
          <w:tcPr>
            <w:tcW w:type="dxa" w:w="189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Response workflow validation, notification testing</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0D9488"/>
                <w:sz w:val="19"/>
                <w:szCs w:val="19"/>
              </w:rPr>
              <w:t xml:space="preserve">Documentation</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GOVERN 4.1-4.3</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A.7, A.8</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Art. 11</w:t>
            </w:r>
          </w:p>
        </w:tc>
        <w:tc>
          <w:tcPr>
            <w:tcW w:type="dxa" w:w="189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Automated evidence generation, audit trail</w:t>
            </w:r>
          </w:p>
        </w:tc>
      </w:tr>
    </w:tbl>
    <w:p>
      <w:r>
        <w:br w:type="page"/>
      </w:r>
    </w:p>
    <w:p>
      <w:pPr>
        <w:pStyle w:val="Heading1"/>
        <w:spacing w:after="200" w:before="360"/>
      </w:pPr>
      <w:r>
        <w:rPr>
          <w:rFonts w:ascii="Arial" w:cs="Arial" w:eastAsia="Arial" w:hAnsi="Arial"/>
          <w:b/>
          <w:bCs/>
          <w:color w:val="0F2A4A"/>
          <w:sz w:val="32"/>
          <w:szCs w:val="32"/>
        </w:rPr>
        <w:t xml:space="preserve">4. ForgeAI Govern: AI Governance in Practice</w:t>
      </w:r>
    </w:p>
    <w:p>
      <w:pPr>
        <w:spacing w:after="140"/>
      </w:pPr>
      <w:r>
        <w:rPr>
          <w:rFonts w:ascii="Arial" w:cs="Arial" w:eastAsia="Arial" w:hAnsi="Arial"/>
          <w:color w:val="1F2937"/>
          <w:sz w:val="21"/>
          <w:szCs w:val="21"/>
        </w:rPr>
        <w:t xml:space="preserve">ForgeAI Govern is Forge Cyber Defense’s purpose-built AI governance platform, designed to integrate with ForgeComply 360’s CTA framework. Together, they provide unified assurance across cybersecurity and AI governance from a single practitioner-built ecosystem.</w:t>
      </w:r>
    </w:p>
    <w:p>
      <w:pPr>
        <w:pStyle w:val="Heading2"/>
        <w:spacing w:after="160" w:before="280"/>
      </w:pPr>
      <w:r>
        <w:rPr>
          <w:rFonts w:ascii="Arial" w:cs="Arial" w:eastAsia="Arial" w:hAnsi="Arial"/>
          <w:b/>
          <w:bCs/>
          <w:color w:val="0F2A4A"/>
          <w:sz w:val="26"/>
          <w:szCs w:val="26"/>
        </w:rPr>
        <w:t xml:space="preserve">4.1 Platform Capabilities</w:t>
      </w:r>
    </w:p>
    <w:p>
      <w:pPr>
        <w:pStyle w:val="ListParagraph"/>
        <w:numPr>
          <w:ilvl w:val="0"/>
          <w:numId w:val="3"/>
        </w:numPr>
        <w:spacing w:after="80"/>
      </w:pPr>
      <w:r>
        <w:rPr>
          <w:rFonts w:ascii="Arial" w:cs="Arial" w:eastAsia="Arial" w:hAnsi="Arial"/>
          <w:b/>
          <w:bCs/>
          <w:color w:val="1F2937"/>
          <w:sz w:val="21"/>
          <w:szCs w:val="21"/>
        </w:rPr>
        <w:t xml:space="preserve">AI Asset Registry: </w:t>
      </w:r>
      <w:r>
        <w:rPr>
          <w:rFonts w:ascii="Arial" w:cs="Arial" w:eastAsia="Arial" w:hAnsi="Arial"/>
          <w:color w:val="1F2937"/>
          <w:sz w:val="21"/>
          <w:szCs w:val="21"/>
        </w:rPr>
        <w:t xml:space="preserve">Comprehensive inventory of all AI/ML systems with classification by risk tier, regulatory exposure, data sensitivity, and operational criticality. Supports automated discovery and continuous inventory updates.</w:t>
      </w:r>
    </w:p>
    <w:p>
      <w:pPr>
        <w:pStyle w:val="ListParagraph"/>
        <w:numPr>
          <w:ilvl w:val="0"/>
          <w:numId w:val="3"/>
        </w:numPr>
        <w:spacing w:after="80"/>
      </w:pPr>
      <w:r>
        <w:rPr>
          <w:rFonts w:ascii="Arial" w:cs="Arial" w:eastAsia="Arial" w:hAnsi="Arial"/>
          <w:b/>
          <w:bCs/>
          <w:color w:val="1F2937"/>
          <w:sz w:val="21"/>
          <w:szCs w:val="21"/>
        </w:rPr>
        <w:t xml:space="preserve">Multi-Dimensional Risk Assessment: </w:t>
      </w:r>
      <w:r>
        <w:rPr>
          <w:rFonts w:ascii="Arial" w:cs="Arial" w:eastAsia="Arial" w:hAnsi="Arial"/>
          <w:color w:val="1F2937"/>
          <w:sz w:val="21"/>
          <w:szCs w:val="21"/>
        </w:rPr>
        <w:t xml:space="preserve">Six-dimensional risk scoring calibrated for regulated environments — Patient Safety, Bias/Fairness, Privacy, Clinical Validity, Cybersecurity, and Regulatory Compliance — with configurable weights by industry and framework.</w:t>
      </w:r>
    </w:p>
    <w:p>
      <w:pPr>
        <w:pStyle w:val="ListParagraph"/>
        <w:numPr>
          <w:ilvl w:val="0"/>
          <w:numId w:val="3"/>
        </w:numPr>
        <w:spacing w:after="80"/>
      </w:pPr>
      <w:r>
        <w:rPr>
          <w:rFonts w:ascii="Arial" w:cs="Arial" w:eastAsia="Arial" w:hAnsi="Arial"/>
          <w:b/>
          <w:bCs/>
          <w:color w:val="1F2937"/>
          <w:sz w:val="21"/>
          <w:szCs w:val="21"/>
        </w:rPr>
        <w:t xml:space="preserve">Algorithmic Impact Assessment: </w:t>
      </w:r>
      <w:r>
        <w:rPr>
          <w:rFonts w:ascii="Arial" w:cs="Arial" w:eastAsia="Arial" w:hAnsi="Arial"/>
          <w:color w:val="1F2937"/>
          <w:sz w:val="21"/>
          <w:szCs w:val="21"/>
        </w:rPr>
        <w:t xml:space="preserve">Automated bias testing with disparate impact analysis across demographic groups, fairness metric monitoring, and drift detection. Generates Colorado SB 21-169 compliant impact assessment documentation.</w:t>
      </w:r>
    </w:p>
    <w:p>
      <w:pPr>
        <w:pStyle w:val="ListParagraph"/>
        <w:numPr>
          <w:ilvl w:val="0"/>
          <w:numId w:val="3"/>
        </w:numPr>
        <w:spacing w:after="80"/>
      </w:pPr>
      <w:r>
        <w:rPr>
          <w:rFonts w:ascii="Arial" w:cs="Arial" w:eastAsia="Arial" w:hAnsi="Arial"/>
          <w:b/>
          <w:bCs/>
          <w:color w:val="1F2937"/>
          <w:sz w:val="21"/>
          <w:szCs w:val="21"/>
        </w:rPr>
        <w:t xml:space="preserve">Multi-Framework Compliance Engine: </w:t>
      </w:r>
      <w:r>
        <w:rPr>
          <w:rFonts w:ascii="Arial" w:cs="Arial" w:eastAsia="Arial" w:hAnsi="Arial"/>
          <w:color w:val="1F2937"/>
          <w:sz w:val="21"/>
          <w:szCs w:val="21"/>
        </w:rPr>
        <w:t xml:space="preserve">Validated crosswalks mapping 25+ controls across NIST AI RMF, ISO 42001, FDA SaMD, ONC HTI-1, HIPAA, and state AI regulations. Single control implementation satisfies multiple framework requirements.</w:t>
      </w:r>
    </w:p>
    <w:p>
      <w:pPr>
        <w:pStyle w:val="ListParagraph"/>
        <w:numPr>
          <w:ilvl w:val="0"/>
          <w:numId w:val="3"/>
        </w:numPr>
        <w:spacing w:after="80"/>
      </w:pPr>
      <w:r>
        <w:rPr>
          <w:rFonts w:ascii="Arial" w:cs="Arial" w:eastAsia="Arial" w:hAnsi="Arial"/>
          <w:b/>
          <w:bCs/>
          <w:color w:val="1F2937"/>
          <w:sz w:val="21"/>
          <w:szCs w:val="21"/>
        </w:rPr>
        <w:t xml:space="preserve">Continuous Monitoring: </w:t>
      </w:r>
      <w:r>
        <w:rPr>
          <w:rFonts w:ascii="Arial" w:cs="Arial" w:eastAsia="Arial" w:hAnsi="Arial"/>
          <w:color w:val="1F2937"/>
          <w:sz w:val="21"/>
          <w:szCs w:val="21"/>
        </w:rPr>
        <w:t xml:space="preserve">Real-time performance, bias, and drift monitoring with configurable alert thresholds. Detects model degradation before it affects outcomes.</w:t>
      </w:r>
    </w:p>
    <w:p>
      <w:pPr>
        <w:pStyle w:val="ListParagraph"/>
        <w:numPr>
          <w:ilvl w:val="0"/>
          <w:numId w:val="3"/>
        </w:numPr>
        <w:spacing w:after="80"/>
      </w:pPr>
      <w:r>
        <w:rPr>
          <w:rFonts w:ascii="Arial" w:cs="Arial" w:eastAsia="Arial" w:hAnsi="Arial"/>
          <w:b/>
          <w:bCs/>
          <w:color w:val="1F2937"/>
          <w:sz w:val="21"/>
          <w:szCs w:val="21"/>
        </w:rPr>
        <w:t xml:space="preserve">Vendor AI Governance: </w:t>
      </w:r>
      <w:r>
        <w:rPr>
          <w:rFonts w:ascii="Arial" w:cs="Arial" w:eastAsia="Arial" w:hAnsi="Arial"/>
          <w:color w:val="1F2937"/>
          <w:sz w:val="21"/>
          <w:szCs w:val="21"/>
        </w:rPr>
        <w:t xml:space="preserve">Third-party AI vendor assessment, BAA management, and ongoing monitoring. Ensures governance extends beyond internally developed AI to procured AI systems.</w:t>
      </w:r>
    </w:p>
    <w:p>
      <w:pPr>
        <w:pStyle w:val="ListParagraph"/>
        <w:numPr>
          <w:ilvl w:val="0"/>
          <w:numId w:val="3"/>
        </w:numPr>
        <w:spacing w:after="80"/>
      </w:pPr>
      <w:r>
        <w:rPr>
          <w:rFonts w:ascii="Arial" w:cs="Arial" w:eastAsia="Arial" w:hAnsi="Arial"/>
          <w:b/>
          <w:bCs/>
          <w:color w:val="1F2937"/>
          <w:sz w:val="21"/>
          <w:szCs w:val="21"/>
        </w:rPr>
        <w:t xml:space="preserve">Maturity Assessment: </w:t>
      </w:r>
      <w:r>
        <w:rPr>
          <w:rFonts w:ascii="Arial" w:cs="Arial" w:eastAsia="Arial" w:hAnsi="Arial"/>
          <w:color w:val="1F2937"/>
          <w:sz w:val="21"/>
          <w:szCs w:val="21"/>
        </w:rPr>
        <w:t xml:space="preserve">Governance maturity scoring across seven domains with benchmark comparisons and improvement roadmaps.</w:t>
      </w:r>
    </w:p>
    <w:p>
      <w:pPr>
        <w:pStyle w:val="Heading2"/>
        <w:spacing w:after="160" w:before="280"/>
      </w:pPr>
      <w:r>
        <w:rPr>
          <w:rFonts w:ascii="Arial" w:cs="Arial" w:eastAsia="Arial" w:hAnsi="Arial"/>
          <w:b/>
          <w:bCs/>
          <w:color w:val="0F2A4A"/>
          <w:sz w:val="26"/>
          <w:szCs w:val="26"/>
        </w:rPr>
        <w:t xml:space="preserve">4.2 Integration with ForgeComply 360</w:t>
      </w:r>
    </w:p>
    <w:p>
      <w:pPr>
        <w:spacing w:after="140"/>
      </w:pPr>
      <w:r>
        <w:rPr>
          <w:rFonts w:ascii="Arial" w:cs="Arial" w:eastAsia="Arial" w:hAnsi="Arial"/>
          <w:color w:val="1F2937"/>
          <w:sz w:val="21"/>
          <w:szCs w:val="21"/>
        </w:rPr>
        <w:t xml:space="preserve">ForgeAI Govern integrates with ForgeComply 360 to provide unified governance across cybersecurity and AI domains. AI-specific controls map to the same framework crosswalk engine that manages FedRAMP, CMMC, and FISMA requirements. Risk assessments for AI systems feed into the same enterprise risk posture that tracks cybersecurity controls. Evidence generated by ForgeAI Govern flows into ForgeComply 360’s audit-ready evidence repository.</w:t>
      </w:r>
    </w:p>
    <w:p>
      <w:pPr>
        <w:spacing w:after="140"/>
      </w:pPr>
      <w:r>
        <w:rPr>
          <w:rFonts w:ascii="Arial" w:cs="Arial" w:eastAsia="Arial" w:hAnsi="Arial"/>
          <w:color w:val="1F2937"/>
          <w:sz w:val="21"/>
          <w:szCs w:val="21"/>
        </w:rPr>
        <w:t xml:space="preserve">This integration means organizations manage one governance program, one evidence repository, one risk posture, and one assurance view — regardless of whether the control protects a network boundary or governs an AI system.</w:t>
      </w:r>
    </w:p>
    <w:p>
      <w:pPr>
        <w:pStyle w:val="Heading2"/>
        <w:spacing w:after="160" w:before="280"/>
      </w:pPr>
      <w:r>
        <w:rPr>
          <w:rFonts w:ascii="Arial" w:cs="Arial" w:eastAsia="Arial" w:hAnsi="Arial"/>
          <w:b/>
          <w:bCs/>
          <w:color w:val="0F2A4A"/>
          <w:sz w:val="26"/>
          <w:szCs w:val="26"/>
        </w:rPr>
        <w:t xml:space="preserve">4.3 Healthcare AI Governance</w:t>
      </w:r>
    </w:p>
    <w:p>
      <w:pPr>
        <w:spacing w:after="140"/>
      </w:pPr>
      <w:r>
        <w:rPr>
          <w:rFonts w:ascii="Arial" w:cs="Arial" w:eastAsia="Arial" w:hAnsi="Arial"/>
          <w:color w:val="1F2937"/>
          <w:sz w:val="21"/>
          <w:szCs w:val="21"/>
        </w:rPr>
        <w:t xml:space="preserve">ForgeAI Govern includes healthcare-specific capabilities reflecting Forge’s deep domain expertise in health IT compliance. Risk scoring weights are calibrated for clinical AI systems where patient safety is paramount. Framework mappings include FDA SaMD classification pathways, ONC HTI-1 transparency requirements, and HIPAA considerations for AI systems processing protected health information. The platform supports the Joint Commission’s emerging AI governance expectations and prepares organizations for CMS AI pilot program requirements.</w:t>
      </w:r>
    </w:p>
    <w:p>
      <w:r>
        <w:br w:type="page"/>
      </w:r>
    </w:p>
    <w:p>
      <w:pPr>
        <w:pStyle w:val="Heading1"/>
        <w:spacing w:after="200" w:before="360"/>
      </w:pPr>
      <w:r>
        <w:rPr>
          <w:rFonts w:ascii="Arial" w:cs="Arial" w:eastAsia="Arial" w:hAnsi="Arial"/>
          <w:b/>
          <w:bCs/>
          <w:color w:val="0F2A4A"/>
          <w:sz w:val="32"/>
          <w:szCs w:val="32"/>
        </w:rPr>
        <w:t xml:space="preserve">5. Implementation Roadmap</w:t>
      </w:r>
    </w:p>
    <w:p>
      <w:pPr>
        <w:spacing w:after="140"/>
      </w:pPr>
      <w:r>
        <w:rPr>
          <w:rFonts w:ascii="Arial" w:cs="Arial" w:eastAsia="Arial" w:hAnsi="Arial"/>
          <w:color w:val="1F2937"/>
          <w:sz w:val="21"/>
          <w:szCs w:val="21"/>
        </w:rPr>
        <w:t xml:space="preserve">Integrating AI governance into an existing CTA framework follows a structured progression that builds on established cybersecurity governance capabilities.</w:t>
      </w:r>
    </w:p>
    <w:p>
      <w:pPr>
        <w:pStyle w:val="Heading2"/>
        <w:spacing w:after="160" w:before="280"/>
      </w:pPr>
      <w:r>
        <w:rPr>
          <w:rFonts w:ascii="Arial" w:cs="Arial" w:eastAsia="Arial" w:hAnsi="Arial"/>
          <w:b/>
          <w:bCs/>
          <w:color w:val="0F2A4A"/>
          <w:sz w:val="26"/>
          <w:szCs w:val="26"/>
        </w:rPr>
        <w:t xml:space="preserve">5.1 Phase 1: Foundation (Months 1–3)</w:t>
      </w:r>
    </w:p>
    <w:p>
      <w:pPr>
        <w:pStyle w:val="ListParagraph"/>
        <w:numPr>
          <w:ilvl w:val="0"/>
          <w:numId w:val="4"/>
        </w:numPr>
        <w:spacing w:after="80"/>
      </w:pPr>
      <w:r>
        <w:rPr>
          <w:rFonts w:ascii="Arial" w:cs="Arial" w:eastAsia="Arial" w:hAnsi="Arial"/>
          <w:color w:val="1F2937"/>
          <w:sz w:val="21"/>
          <w:szCs w:val="21"/>
        </w:rPr>
        <w:t xml:space="preserve">Complete AI system inventory across all business units and third-party vendors</w:t>
      </w:r>
    </w:p>
    <w:p>
      <w:pPr>
        <w:pStyle w:val="ListParagraph"/>
        <w:numPr>
          <w:ilvl w:val="0"/>
          <w:numId w:val="4"/>
        </w:numPr>
        <w:spacing w:after="80"/>
      </w:pPr>
      <w:r>
        <w:rPr>
          <w:rFonts w:ascii="Arial" w:cs="Arial" w:eastAsia="Arial" w:hAnsi="Arial"/>
          <w:color w:val="1F2937"/>
          <w:sz w:val="21"/>
          <w:szCs w:val="21"/>
        </w:rPr>
        <w:t xml:space="preserve">Conduct initial risk assessments using multi-dimensional scoring framework</w:t>
      </w:r>
    </w:p>
    <w:p>
      <w:pPr>
        <w:pStyle w:val="ListParagraph"/>
        <w:numPr>
          <w:ilvl w:val="0"/>
          <w:numId w:val="4"/>
        </w:numPr>
        <w:spacing w:after="80"/>
      </w:pPr>
      <w:r>
        <w:rPr>
          <w:rFonts w:ascii="Arial" w:cs="Arial" w:eastAsia="Arial" w:hAnsi="Arial"/>
          <w:color w:val="1F2937"/>
          <w:sz w:val="21"/>
          <w:szCs w:val="21"/>
        </w:rPr>
        <w:t xml:space="preserve">Map existing cybersecurity governance structures to AI governance requirements</w:t>
      </w:r>
    </w:p>
    <w:p>
      <w:pPr>
        <w:pStyle w:val="ListParagraph"/>
        <w:numPr>
          <w:ilvl w:val="0"/>
          <w:numId w:val="4"/>
        </w:numPr>
        <w:spacing w:after="80"/>
      </w:pPr>
      <w:r>
        <w:rPr>
          <w:rFonts w:ascii="Arial" w:cs="Arial" w:eastAsia="Arial" w:hAnsi="Arial"/>
          <w:color w:val="1F2937"/>
          <w:sz w:val="21"/>
          <w:szCs w:val="21"/>
        </w:rPr>
        <w:t xml:space="preserve">Deploy continuous monitoring for highest-risk AI systems</w:t>
      </w:r>
    </w:p>
    <w:p>
      <w:pPr>
        <w:pStyle w:val="ListParagraph"/>
        <w:numPr>
          <w:ilvl w:val="0"/>
          <w:numId w:val="4"/>
        </w:numPr>
        <w:spacing w:after="80"/>
      </w:pPr>
      <w:r>
        <w:rPr>
          <w:rFonts w:ascii="Arial" w:cs="Arial" w:eastAsia="Arial" w:hAnsi="Arial"/>
          <w:color w:val="1F2937"/>
          <w:sz w:val="21"/>
          <w:szCs w:val="21"/>
        </w:rPr>
        <w:t xml:space="preserve">Establish AI governance accountability structures (roles, policies, escalation paths)</w:t>
      </w:r>
    </w:p>
    <w:p>
      <w:pPr>
        <w:pStyle w:val="Heading2"/>
        <w:spacing w:after="160" w:before="280"/>
      </w:pPr>
      <w:r>
        <w:rPr>
          <w:rFonts w:ascii="Arial" w:cs="Arial" w:eastAsia="Arial" w:hAnsi="Arial"/>
          <w:b/>
          <w:bCs/>
          <w:color w:val="0F2A4A"/>
          <w:sz w:val="26"/>
          <w:szCs w:val="26"/>
        </w:rPr>
        <w:t xml:space="preserve">5.2 Phase 2: Operationalization (Months 4–6)</w:t>
      </w:r>
    </w:p>
    <w:p>
      <w:pPr>
        <w:pStyle w:val="ListParagraph"/>
        <w:numPr>
          <w:ilvl w:val="0"/>
          <w:numId w:val="5"/>
        </w:numPr>
        <w:spacing w:after="80"/>
      </w:pPr>
      <w:r>
        <w:rPr>
          <w:rFonts w:ascii="Arial" w:cs="Arial" w:eastAsia="Arial" w:hAnsi="Arial"/>
          <w:color w:val="1F2937"/>
          <w:sz w:val="21"/>
          <w:szCs w:val="21"/>
        </w:rPr>
        <w:t xml:space="preserve">Complete algorithmic impact assessments for all high-risk AI systems</w:t>
      </w:r>
    </w:p>
    <w:p>
      <w:pPr>
        <w:pStyle w:val="ListParagraph"/>
        <w:numPr>
          <w:ilvl w:val="0"/>
          <w:numId w:val="5"/>
        </w:numPr>
        <w:spacing w:after="80"/>
      </w:pPr>
      <w:r>
        <w:rPr>
          <w:rFonts w:ascii="Arial" w:cs="Arial" w:eastAsia="Arial" w:hAnsi="Arial"/>
          <w:color w:val="1F2937"/>
          <w:sz w:val="21"/>
          <w:szCs w:val="21"/>
        </w:rPr>
        <w:t xml:space="preserve">Implement automated bias testing and fairness monitoring</w:t>
      </w:r>
    </w:p>
    <w:p>
      <w:pPr>
        <w:pStyle w:val="ListParagraph"/>
        <w:numPr>
          <w:ilvl w:val="0"/>
          <w:numId w:val="5"/>
        </w:numPr>
        <w:spacing w:after="80"/>
      </w:pPr>
      <w:r>
        <w:rPr>
          <w:rFonts w:ascii="Arial" w:cs="Arial" w:eastAsia="Arial" w:hAnsi="Arial"/>
          <w:color w:val="1F2937"/>
          <w:sz w:val="21"/>
          <w:szCs w:val="21"/>
        </w:rPr>
        <w:t xml:space="preserve">Configure multi-framework compliance crosswalks (NIST AI RMF + ISO 42001 + regulatory)</w:t>
      </w:r>
    </w:p>
    <w:p>
      <w:pPr>
        <w:pStyle w:val="ListParagraph"/>
        <w:numPr>
          <w:ilvl w:val="0"/>
          <w:numId w:val="5"/>
        </w:numPr>
        <w:spacing w:after="80"/>
      </w:pPr>
      <w:r>
        <w:rPr>
          <w:rFonts w:ascii="Arial" w:cs="Arial" w:eastAsia="Arial" w:hAnsi="Arial"/>
          <w:color w:val="1F2937"/>
          <w:sz w:val="21"/>
          <w:szCs w:val="21"/>
        </w:rPr>
        <w:t xml:space="preserve">Integrate AI governance evidence into ForgeComply 360 audit repository</w:t>
      </w:r>
    </w:p>
    <w:p>
      <w:pPr>
        <w:pStyle w:val="ListParagraph"/>
        <w:numPr>
          <w:ilvl w:val="0"/>
          <w:numId w:val="5"/>
        </w:numPr>
        <w:spacing w:after="80"/>
      </w:pPr>
      <w:r>
        <w:rPr>
          <w:rFonts w:ascii="Arial" w:cs="Arial" w:eastAsia="Arial" w:hAnsi="Arial"/>
          <w:color w:val="1F2937"/>
          <w:sz w:val="21"/>
          <w:szCs w:val="21"/>
        </w:rPr>
        <w:t xml:space="preserve">Launch governance training program across all stakeholder roles</w:t>
      </w:r>
    </w:p>
    <w:p>
      <w:pPr>
        <w:pStyle w:val="Heading2"/>
        <w:spacing w:after="160" w:before="280"/>
      </w:pPr>
      <w:r>
        <w:rPr>
          <w:rFonts w:ascii="Arial" w:cs="Arial" w:eastAsia="Arial" w:hAnsi="Arial"/>
          <w:b/>
          <w:bCs/>
          <w:color w:val="0F2A4A"/>
          <w:sz w:val="26"/>
          <w:szCs w:val="26"/>
        </w:rPr>
        <w:t xml:space="preserve">5.3 Phase 3: Maturity (Months 7–12)</w:t>
      </w:r>
    </w:p>
    <w:p>
      <w:pPr>
        <w:pStyle w:val="ListParagraph"/>
        <w:numPr>
          <w:ilvl w:val="0"/>
          <w:numId w:val="6"/>
        </w:numPr>
        <w:spacing w:after="80"/>
      </w:pPr>
      <w:r>
        <w:rPr>
          <w:rFonts w:ascii="Arial" w:cs="Arial" w:eastAsia="Arial" w:hAnsi="Arial"/>
          <w:color w:val="1F2937"/>
          <w:sz w:val="21"/>
          <w:szCs w:val="21"/>
        </w:rPr>
        <w:t xml:space="preserve">Extend governance to third-party AI vendors with automated assessment and monitoring</w:t>
      </w:r>
    </w:p>
    <w:p>
      <w:pPr>
        <w:pStyle w:val="ListParagraph"/>
        <w:numPr>
          <w:ilvl w:val="0"/>
          <w:numId w:val="6"/>
        </w:numPr>
        <w:spacing w:after="80"/>
      </w:pPr>
      <w:r>
        <w:rPr>
          <w:rFonts w:ascii="Arial" w:cs="Arial" w:eastAsia="Arial" w:hAnsi="Arial"/>
          <w:color w:val="1F2937"/>
          <w:sz w:val="21"/>
          <w:szCs w:val="21"/>
        </w:rPr>
        <w:t xml:space="preserve">Integrate governance into CI/CD and model deployment pipelines</w:t>
      </w:r>
    </w:p>
    <w:p>
      <w:pPr>
        <w:pStyle w:val="ListParagraph"/>
        <w:numPr>
          <w:ilvl w:val="0"/>
          <w:numId w:val="6"/>
        </w:numPr>
        <w:spacing w:after="80"/>
      </w:pPr>
      <w:r>
        <w:rPr>
          <w:rFonts w:ascii="Arial" w:cs="Arial" w:eastAsia="Arial" w:hAnsi="Arial"/>
          <w:color w:val="1F2937"/>
          <w:sz w:val="21"/>
          <w:szCs w:val="21"/>
        </w:rPr>
        <w:t xml:space="preserve">Prepare for ISO 42001 certification readiness</w:t>
      </w:r>
    </w:p>
    <w:p>
      <w:pPr>
        <w:pStyle w:val="ListParagraph"/>
        <w:numPr>
          <w:ilvl w:val="0"/>
          <w:numId w:val="6"/>
        </w:numPr>
        <w:spacing w:after="80"/>
      </w:pPr>
      <w:r>
        <w:rPr>
          <w:rFonts w:ascii="Arial" w:cs="Arial" w:eastAsia="Arial" w:hAnsi="Arial"/>
          <w:color w:val="1F2937"/>
          <w:sz w:val="21"/>
          <w:szCs w:val="21"/>
        </w:rPr>
        <w:t xml:space="preserve">Conduct comprehensive governance maturity assessment and benchmark</w:t>
      </w:r>
    </w:p>
    <w:p>
      <w:pPr>
        <w:pStyle w:val="ListParagraph"/>
        <w:numPr>
          <w:ilvl w:val="0"/>
          <w:numId w:val="6"/>
        </w:numPr>
        <w:spacing w:after="80"/>
      </w:pPr>
      <w:r>
        <w:rPr>
          <w:rFonts w:ascii="Arial" w:cs="Arial" w:eastAsia="Arial" w:hAnsi="Arial"/>
          <w:color w:val="1F2937"/>
          <w:sz w:val="21"/>
          <w:szCs w:val="21"/>
        </w:rPr>
        <w:t xml:space="preserve">Establish board-level AI governance reporting integrated with cybersecurity assurance</w:t>
      </w:r>
    </w:p>
    <w:p>
      <w:r>
        <w:br w:type="page"/>
      </w:r>
    </w:p>
    <w:p>
      <w:pPr>
        <w:pStyle w:val="Heading1"/>
        <w:spacing w:after="200" w:before="360"/>
      </w:pPr>
      <w:r>
        <w:rPr>
          <w:rFonts w:ascii="Arial" w:cs="Arial" w:eastAsia="Arial" w:hAnsi="Arial"/>
          <w:b/>
          <w:bCs/>
          <w:color w:val="0F2A4A"/>
          <w:sz w:val="32"/>
          <w:szCs w:val="32"/>
        </w:rPr>
        <w:t xml:space="preserve">6. The Unified CTA Ecosystem</w:t>
      </w:r>
    </w:p>
    <w:p>
      <w:pPr>
        <w:spacing w:after="140"/>
      </w:pPr>
      <w:r>
        <w:rPr>
          <w:rFonts w:ascii="Arial" w:cs="Arial" w:eastAsia="Arial" w:hAnsi="Arial"/>
          <w:color w:val="1F2937"/>
          <w:sz w:val="21"/>
          <w:szCs w:val="21"/>
        </w:rPr>
        <w:t xml:space="preserve">Zero Trust, AI Governance, and traditional compliance are not separate disciplines. They are interconnected domains that share common governance requirements, common evidence needs, and common assurance objectives. The CTA framework unifies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91E36" w:val="clear"/>
            <w:tcMar>
              <w:top w:type="dxa" w:w="100"/>
              <w:left w:type="dxa" w:w="150"/>
              <w:bottom w:type="dxa" w:w="100"/>
              <w:right w:type="dxa" w:w="150"/>
            </w:tcMar>
          </w:tcPr>
          <w:p>
            <w:r>
              <w:rPr>
                <w:rFonts w:ascii="Arial" w:cs="Arial" w:eastAsia="Arial" w:hAnsi="Arial"/>
                <w:b/>
                <w:bCs/>
                <w:color w:val="FFFFFF"/>
                <w:sz w:val="20"/>
                <w:szCs w:val="20"/>
              </w:rPr>
              <w:t xml:space="preserve">Capability</w:t>
            </w:r>
          </w:p>
        </w:tc>
        <w:tc>
          <w:tcPr>
            <w:tcW w:type="dxa" w:w="2340"/>
            <w:tcBorders>
              <w:top w:val="single" w:color="D1D5DB" w:sz="1"/>
              <w:left w:val="single" w:color="D1D5DB" w:sz="1"/>
              <w:bottom w:val="single" w:color="D1D5DB" w:sz="1"/>
              <w:right w:val="single" w:color="D1D5DB" w:sz="1"/>
            </w:tcBorders>
            <w:shd w:fill="091E36" w:val="clear"/>
            <w:tcMar>
              <w:top w:type="dxa" w:w="100"/>
              <w:left w:type="dxa" w:w="150"/>
              <w:bottom w:type="dxa" w:w="100"/>
              <w:right w:type="dxa" w:w="150"/>
            </w:tcMar>
          </w:tcPr>
          <w:p>
            <w:r>
              <w:rPr>
                <w:rFonts w:ascii="Arial" w:cs="Arial" w:eastAsia="Arial" w:hAnsi="Arial"/>
                <w:b/>
                <w:bCs/>
                <w:color w:val="FFFFFF"/>
                <w:sz w:val="20"/>
                <w:szCs w:val="20"/>
              </w:rPr>
              <w:t xml:space="preserve">ForgeComply 360</w:t>
            </w:r>
          </w:p>
        </w:tc>
        <w:tc>
          <w:tcPr>
            <w:tcW w:type="dxa" w:w="2340"/>
            <w:tcBorders>
              <w:top w:val="single" w:color="D1D5DB" w:sz="1"/>
              <w:left w:val="single" w:color="D1D5DB" w:sz="1"/>
              <w:bottom w:val="single" w:color="D1D5DB" w:sz="1"/>
              <w:right w:val="single" w:color="D1D5DB" w:sz="1"/>
            </w:tcBorders>
            <w:shd w:fill="091E36" w:val="clear"/>
            <w:tcMar>
              <w:top w:type="dxa" w:w="100"/>
              <w:left w:type="dxa" w:w="150"/>
              <w:bottom w:type="dxa" w:w="100"/>
              <w:right w:type="dxa" w:w="150"/>
            </w:tcMar>
          </w:tcPr>
          <w:p>
            <w:r>
              <w:rPr>
                <w:rFonts w:ascii="Arial" w:cs="Arial" w:eastAsia="Arial" w:hAnsi="Arial"/>
                <w:b/>
                <w:bCs/>
                <w:color w:val="FFFFFF"/>
                <w:sz w:val="20"/>
                <w:szCs w:val="20"/>
              </w:rPr>
              <w:t xml:space="preserve">Zero Trust (CTA)</w:t>
            </w:r>
          </w:p>
        </w:tc>
        <w:tc>
          <w:tcPr>
            <w:tcW w:type="dxa" w:w="2340"/>
            <w:tcBorders>
              <w:top w:val="single" w:color="D1D5DB" w:sz="1"/>
              <w:left w:val="single" w:color="D1D5DB" w:sz="1"/>
              <w:bottom w:val="single" w:color="D1D5DB" w:sz="1"/>
              <w:right w:val="single" w:color="D1D5DB" w:sz="1"/>
            </w:tcBorders>
            <w:shd w:fill="091E36" w:val="clear"/>
            <w:tcMar>
              <w:top w:type="dxa" w:w="100"/>
              <w:left w:type="dxa" w:w="150"/>
              <w:bottom w:type="dxa" w:w="100"/>
              <w:right w:type="dxa" w:w="150"/>
            </w:tcMar>
          </w:tcPr>
          <w:p>
            <w:r>
              <w:rPr>
                <w:rFonts w:ascii="Arial" w:cs="Arial" w:eastAsia="Arial" w:hAnsi="Arial"/>
                <w:b/>
                <w:bCs/>
                <w:color w:val="FFFFFF"/>
                <w:sz w:val="20"/>
                <w:szCs w:val="20"/>
              </w:rPr>
              <w:t xml:space="preserve">ForgeAI Govern</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1F2937"/>
                <w:sz w:val="19"/>
                <w:szCs w:val="19"/>
              </w:rPr>
              <w:t xml:space="preserve">Continuous Monitoring</w:t>
            </w:r>
          </w:p>
        </w:tc>
        <w:tc>
          <w:tcPr>
            <w:tcW w:type="dxa" w:w="234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Control effectiveness</w:t>
            </w:r>
          </w:p>
        </w:tc>
        <w:tc>
          <w:tcPr>
            <w:tcW w:type="dxa" w:w="234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ZTA pillar validation</w:t>
            </w:r>
          </w:p>
        </w:tc>
        <w:tc>
          <w:tcPr>
            <w:tcW w:type="dxa" w:w="234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Model drift &amp; bias</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1F2937"/>
                <w:sz w:val="19"/>
                <w:szCs w:val="19"/>
              </w:rPr>
              <w:t xml:space="preserve">Evidence Generation</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Audit-ready compliance docs</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ZT control test results</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Impact assessments &amp; bias reports</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1F2937"/>
                <w:sz w:val="19"/>
                <w:szCs w:val="19"/>
              </w:rPr>
              <w:t xml:space="preserve">Framework Crosswalk</w:t>
            </w:r>
          </w:p>
        </w:tc>
        <w:tc>
          <w:tcPr>
            <w:tcW w:type="dxa" w:w="234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FedRAMP, CMMC, FISMA</w:t>
            </w:r>
          </w:p>
        </w:tc>
        <w:tc>
          <w:tcPr>
            <w:tcW w:type="dxa" w:w="234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NIST 800-207, CISA ZTM</w:t>
            </w:r>
          </w:p>
        </w:tc>
        <w:tc>
          <w:tcPr>
            <w:tcW w:type="dxa" w:w="234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NIST AI RMF, ISO 42001</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1F2937"/>
                <w:sz w:val="19"/>
                <w:szCs w:val="19"/>
              </w:rPr>
              <w:t xml:space="preserve">Risk Scoring</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Control-based risk posture</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ZT maturity scoring</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color w:val="1F2937"/>
                <w:sz w:val="19"/>
                <w:szCs w:val="19"/>
              </w:rPr>
              <w:t xml:space="preserve">6-dimensional AI risk</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color w:val="1F2937"/>
                <w:sz w:val="19"/>
                <w:szCs w:val="19"/>
              </w:rPr>
              <w:t xml:space="preserve">Offensive Testing</w:t>
            </w:r>
          </w:p>
        </w:tc>
        <w:tc>
          <w:tcPr>
            <w:tcW w:type="dxa" w:w="234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ForgeRedOps integration</w:t>
            </w:r>
          </w:p>
        </w:tc>
        <w:tc>
          <w:tcPr>
            <w:tcW w:type="dxa" w:w="234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Lateral movement testing</w:t>
            </w:r>
          </w:p>
        </w:tc>
        <w:tc>
          <w:tcPr>
            <w:tcW w:type="dxa" w:w="2340"/>
            <w:tcBorders>
              <w:top w:val="single" w:color="D1D5DB" w:sz="1"/>
              <w:left w:val="single" w:color="D1D5DB" w:sz="1"/>
              <w:bottom w:val="single" w:color="D1D5DB" w:sz="1"/>
              <w:right w:val="single" w:color="D1D5DB" w:sz="1"/>
            </w:tcBorders>
            <w:shd w:fill="F8FAFB" w:val="clear"/>
            <w:tcMar>
              <w:top w:type="dxa" w:w="100"/>
              <w:left w:type="dxa" w:w="150"/>
              <w:bottom w:type="dxa" w:w="100"/>
              <w:right w:type="dxa" w:w="150"/>
            </w:tcMar>
          </w:tcPr>
          <w:p>
            <w:r>
              <w:rPr>
                <w:rFonts w:ascii="Arial" w:cs="Arial" w:eastAsia="Arial" w:hAnsi="Arial"/>
                <w:color w:val="1F2937"/>
                <w:sz w:val="19"/>
                <w:szCs w:val="19"/>
              </w:rPr>
              <w:t xml:space="preserve">Adversarial AI testing</w:t>
            </w:r>
          </w:p>
        </w:tc>
      </w:tr>
    </w:tbl>
    <w:p>
      <w:pPr>
        <w:spacing w:after="140"/>
      </w:pPr>
      <w:r>
        <w:rPr>
          <w:rFonts w:ascii="Arial" w:cs="Arial" w:eastAsia="Arial" w:hAnsi="Arial"/>
          <w:color w:val="1F2937"/>
          <w:sz w:val="21"/>
          <w:szCs w:val="21"/>
        </w:rPr>
        <w:t xml:space="preserve"/>
      </w:r>
    </w:p>
    <w:p>
      <w:pPr>
        <w:spacing w:after="140"/>
      </w:pPr>
      <w:r>
        <w:rPr>
          <w:rFonts w:ascii="Arial" w:cs="Arial" w:eastAsia="Arial" w:hAnsi="Arial"/>
          <w:color w:val="1F2937"/>
          <w:sz w:val="21"/>
          <w:szCs w:val="21"/>
        </w:rPr>
        <w:t xml:space="preserve">This unified ecosystem is Forge Cyber Defense’s competitive moat. No other vendor offers practitioner-built technology that spans federal compliance, Zero Trust validation, and AI governance under a single Continuous Trust &amp; Assurance framework.</w:t>
      </w:r>
    </w:p>
    <w:p>
      <w:r>
        <w:br w:type="page"/>
      </w:r>
    </w:p>
    <w:p>
      <w:pPr>
        <w:pStyle w:val="Heading1"/>
        <w:spacing w:after="200" w:before="360"/>
      </w:pPr>
      <w:r>
        <w:rPr>
          <w:rFonts w:ascii="Arial" w:cs="Arial" w:eastAsia="Arial" w:hAnsi="Arial"/>
          <w:b/>
          <w:bCs/>
          <w:color w:val="0F2A4A"/>
          <w:sz w:val="32"/>
          <w:szCs w:val="32"/>
        </w:rPr>
        <w:t xml:space="preserve">7. Conclusion</w:t>
      </w:r>
    </w:p>
    <w:p>
      <w:pPr>
        <w:spacing w:after="140"/>
      </w:pPr>
      <w:r>
        <w:rPr>
          <w:rFonts w:ascii="Arial" w:cs="Arial" w:eastAsia="Arial" w:hAnsi="Arial"/>
          <w:color w:val="1F2937"/>
          <w:sz w:val="21"/>
          <w:szCs w:val="21"/>
        </w:rPr>
        <w:t xml:space="preserve">AI governance is not a future concern. It is a present-day compliance requirement with accelerating enforcement timelines, expanding regulatory scope, and increasing consequences for non-compliance. Organizations that treat AI governance as a separate program from cybersecurity compliance will face duplicated costs, fragmented evidence, and gaps that auditors and regulators will exploit.</w:t>
      </w:r>
    </w:p>
    <w:p>
      <w:pPr>
        <w:spacing w:after="140"/>
      </w:pPr>
      <w:r>
        <w:rPr>
          <w:rFonts w:ascii="Arial" w:cs="Arial" w:eastAsia="Arial" w:hAnsi="Arial"/>
          <w:color w:val="1F2937"/>
          <w:sz w:val="21"/>
          <w:szCs w:val="21"/>
        </w:rPr>
        <w:t xml:space="preserve">Continuous Trust &amp; Assurance provides the framework for unified governance — treating AI controls with the same validated, evidence-based rigor applied to network security, access management, and data protection. By integrating ForgeAI Govern with ForgeComply 360, organizations manage one governance program that spans cybersecurity, Zero Trust, and AI — with continuous validation that proves every control works.</w:t>
      </w:r>
    </w:p>
    <w:p>
      <w:pPr>
        <w:spacing w:after="140"/>
      </w:pPr>
      <w:r>
        <w:rPr>
          <w:rFonts w:ascii="Arial" w:cs="Arial" w:eastAsia="Arial" w:hAnsi="Arial"/>
          <w:color w:val="1F2937"/>
          <w:sz w:val="21"/>
          <w:szCs w:val="21"/>
        </w:rPr>
        <w:t xml:space="preserve">The organizations that build this unified governance capability now will be positioned to adopt AI faster, more safely, and with the institutional confidence that comes from knowing their governance isn’t just documented. It’s proven.</w:t>
      </w:r>
    </w:p>
    <w:p>
      <w:pPr>
        <w:spacing w:after="140"/>
      </w:pPr>
      <w:r>
        <w:rPr>
          <w:rFonts w:ascii="Arial" w:cs="Arial" w:eastAsia="Arial" w:hAnsi="Arial"/>
          <w:b/>
          <w:bCs/>
          <w:color w:val="0D9488"/>
          <w:sz w:val="26"/>
          <w:szCs w:val="26"/>
        </w:rPr>
        <w:t xml:space="preserve">Govern AI. Prove Compliance. Continuously.</w:t>
      </w:r>
    </w:p>
    <w:p>
      <w:pPr>
        <w:pBdr>
          <w:bottom w:val="single" w:color="0D9488" w:sz="2" w:space="8"/>
        </w:pBdr>
        <w:spacing w:after="240" w:before="240"/>
      </w:pPr>
    </w:p>
    <w:p>
      <w:pPr>
        <w:pStyle w:val="Heading2"/>
        <w:spacing w:after="160" w:before="280"/>
      </w:pPr>
      <w:r>
        <w:rPr>
          <w:rFonts w:ascii="Arial" w:cs="Arial" w:eastAsia="Arial" w:hAnsi="Arial"/>
          <w:b/>
          <w:bCs/>
          <w:color w:val="0F2A4A"/>
          <w:sz w:val="26"/>
          <w:szCs w:val="26"/>
        </w:rPr>
        <w:t xml:space="preserve">About Forge Cyber Defense</w:t>
      </w:r>
    </w:p>
    <w:p>
      <w:pPr>
        <w:spacing w:after="200"/>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140"/>
      </w:pPr>
      <w:r>
        <w:rPr>
          <w:rFonts w:ascii="Arial" w:cs="Arial" w:eastAsia="Arial" w:hAnsi="Arial"/>
          <w:color w:val="1F2937"/>
          <w:sz w:val="21"/>
          <w:szCs w:val="21"/>
        </w:rPr>
        <w:t xml:space="preserve">Forge Cyber Defense is a veteran-owned cybersecurity consultancy and technology company. ForgeAI Govern is our AI governance platform built for healthcare and federal environments. ForgeComply 360 is our Continuous Trust &amp; Assurance Platform. Together, they deliver unified governance across cybersecurity, Zero Trust, and AI — built by practitioners with 25+ years of federal experience.</w:t>
      </w:r>
    </w:p>
    <w:p>
      <w:pPr>
        <w:spacing w:after="140"/>
      </w:pPr>
      <w:r>
        <w:rPr>
          <w:rFonts w:ascii="Arial" w:cs="Arial" w:eastAsia="Arial" w:hAnsi="Arial"/>
          <w:b/>
          <w:bCs/>
          <w:color w:val="0D9488"/>
          <w:sz w:val="24"/>
          <w:szCs w:val="24"/>
        </w:rPr>
        <w:t xml:space="preserve">Security Forged. Trust Proven.</w:t>
      </w:r>
    </w:p>
    <w:p>
      <w:pPr>
        <w:spacing w:after="140"/>
      </w:pPr>
      <w:r>
        <w:rPr>
          <w:rFonts w:ascii="Arial" w:cs="Arial" w:eastAsia="Arial" w:hAnsi="Arial"/>
          <w:b/>
          <w:bCs/>
          <w:color w:val="0F2A4A"/>
          <w:sz w:val="21"/>
          <w:szCs w:val="21"/>
        </w:rPr>
        <w:t xml:space="preserve">Website: </w:t>
      </w:r>
      <w:r>
        <w:rPr>
          <w:rFonts w:ascii="Arial" w:cs="Arial" w:eastAsia="Arial" w:hAnsi="Arial"/>
          <w:color w:val="1F2937"/>
          <w:sz w:val="21"/>
          <w:szCs w:val="21"/>
        </w:rPr>
        <w:t xml:space="preserve">www.forgecyberdefense.com</w:t>
      </w:r>
    </w:p>
    <w:p>
      <w:pPr>
        <w:spacing w:after="140"/>
      </w:pPr>
      <w:r>
        <w:rPr>
          <w:rFonts w:ascii="Arial" w:cs="Arial" w:eastAsia="Arial" w:hAnsi="Arial"/>
          <w:b/>
          <w:bCs/>
          <w:color w:val="0F2A4A"/>
          <w:sz w:val="21"/>
          <w:szCs w:val="21"/>
        </w:rPr>
        <w:t xml:space="preserve">Contact: </w:t>
      </w:r>
      <w:r>
        <w:rPr>
          <w:rFonts w:ascii="Arial" w:cs="Arial" w:eastAsia="Arial" w:hAnsi="Arial"/>
          <w:color w:val="1F2937"/>
          <w:sz w:val="21"/>
          <w:szCs w:val="21"/>
        </w:rPr>
        <w:t xml:space="preserve">info@forgecyberdefense.com</w:t>
      </w:r>
    </w:p>
    <w:p>
      <w:pPr>
        <w:pBdr>
          <w:bottom w:val="single" w:color="0D9488" w:sz="2" w:space="8"/>
        </w:pBdr>
        <w:spacing w:after="240" w:before="240"/>
      </w:pPr>
    </w:p>
    <w:p>
      <w:pPr>
        <w:jc w:val="center"/>
      </w:pPr>
      <w:r>
        <w:rPr>
          <w:rFonts w:ascii="Arial" w:cs="Arial" w:eastAsia="Arial" w:hAnsi="Arial"/>
          <w:color w:val="6B7280"/>
          <w:sz w:val="18"/>
          <w:szCs w:val="18"/>
        </w:rPr>
        <w:t xml:space="preserve">© 2026 Forge Cyber Defense.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Forge Cyber Defense  •  www.forgecyberdefense.com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pPr>
    <w:r>
      <w:rPr>
        <w:rFonts w:ascii="Arial" w:cs="Arial" w:eastAsia="Arial" w:hAnsi="Arial"/>
        <w:i/>
        <w:iCs/>
        <w:color w:val="4B5563"/>
        <w:sz w:val="16"/>
        <w:szCs w:val="16"/>
      </w:rPr>
      <w:t xml:space="preserve">AI Governance as a Compliance Discipline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c2e1c6c0599e72549c70d20da8e0f8f9d60da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2026-03-04T18:22:05.668Z</dcterms:created>
  <dcterms:modified xsi:type="dcterms:W3CDTF">2026-03-04T18:22:05.670Z</dcterms:modified>
</cp:coreProperties>
</file>

<file path=docProps/custom.xml><?xml version="1.0" encoding="utf-8"?>
<Properties xmlns="http://schemas.openxmlformats.org/officeDocument/2006/custom-properties" xmlns:vt="http://schemas.openxmlformats.org/officeDocument/2006/docPropsVTypes"/>
</file>