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50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1200"/>
              <w:left w:type="dxa" w:w="1440"/>
              <w:bottom w:type="dxa" w:w="400"/>
              <w:right w:type="dxa" w:w="1440"/>
            </w:tcMar>
            <w:vAlign w:val="center"/>
          </w:tcPr>
          <w:p>
            <w:pPr>
              <w:spacing w:after="200"/>
            </w:pPr>
            <w:r>
              <w:rPr>
                <w:rFonts w:ascii="Montserrat" w:cs="Montserrat" w:eastAsia="Montserrat" w:hAnsi="Montserrat"/>
                <w:b/>
                <w:bCs/>
                <w:color w:val="14B8A6"/>
                <w:spacing w:val="200"/>
                <w:sz w:val="22"/>
                <w:szCs w:val="22"/>
              </w:rPr>
              <w:t xml:space="preserve">FORGE CYBER DEFENSE</w:t>
            </w:r>
          </w:p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8"/>
                <w:szCs w:val="48"/>
              </w:rPr>
              <w:t xml:space="preserve">Healthcare AI Governance</w:t>
            </w:r>
          </w:p>
          <w:p>
            <w:pPr>
              <w:spacing w:after="200"/>
            </w:pPr>
            <w:r>
              <w:rPr>
                <w:rFonts w:ascii="Montserrat" w:cs="Montserrat" w:eastAsia="Montserrat" w:hAnsi="Montserrat"/>
                <w:b/>
                <w:bCs/>
                <w:color w:val="14B8A6"/>
                <w:sz w:val="48"/>
                <w:szCs w:val="48"/>
              </w:rPr>
              <w:t xml:space="preserve">Assessment Framework</w:t>
            </w:r>
          </w:p>
          <w:p>
            <w:pPr>
              <w:spacing w:before="100" w:after="100"/>
            </w:pPr>
          </w:p>
          <w:p>
            <w:r>
              <w:rPr>
                <w:rFonts w:ascii="Open Sans" w:cs="Open Sans" w:eastAsia="Open Sans" w:hAnsi="Open Sans"/>
                <w:color w:val="B0C4DE"/>
                <w:sz w:val="22"/>
                <w:szCs w:val="22"/>
              </w:rPr>
              <w:t xml:space="preserve">Consulting Methodology, Scoring Templates &amp; Deliverables Guide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35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0"/>
              <w:left w:type="dxa" w:w="1440"/>
              <w:bottom w:type="dxa" w:w="400"/>
              <w:right w:type="dxa" w:w="1440"/>
            </w:tcMar>
          </w:tcPr>
          <w:p>
            <w:pPr>
              <w:spacing w:after="400"/>
            </w:pPr>
            <w:r>
              <w:rPr>
                <w:rFonts w:ascii="Montserrat" w:cs="Montserrat" w:eastAsia="Montserrat" w:hAnsi="Montserrat"/>
                <w:b/>
                <w:bCs/>
                <w:color w:val="0D9488"/>
                <w:spacing w:val="150"/>
                <w:sz w:val="20"/>
                <w:szCs w:val="20"/>
              </w:rPr>
              <w:t xml:space="preserve">CONSULTING FRAMEWORK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color w:val="4B5563"/>
                <w:sz w:val="20"/>
                <w:szCs w:val="20"/>
              </w:rPr>
              <w:t xml:space="preserve">Version: 1.0  |  February 2025</w:t>
            </w:r>
          </w:p>
          <w:p>
            <w:pPr>
              <w:spacing w:after="400"/>
            </w:pPr>
            <w:r>
              <w:rPr>
                <w:rFonts w:ascii="Open Sans" w:cs="Open Sans" w:eastAsia="Open Sans" w:hAnsi="Open Sans"/>
                <w:color w:val="4B5563"/>
                <w:sz w:val="20"/>
                <w:szCs w:val="20"/>
              </w:rPr>
              <w:t xml:space="preserve">For Internal Use / Client Engagements</w:t>
            </w:r>
          </w:p>
          <w:p>
            <w:pPr>
              <w:spacing w:before="200" w:after="200"/>
            </w:pPr>
          </w:p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F2A4A"/>
                <w:sz w:val="22"/>
                <w:szCs w:val="22"/>
              </w:rPr>
              <w:t xml:space="preserve">Forge Cyber Defense</w:t>
            </w:r>
          </w:p>
          <w:p>
            <w:r>
              <w:rPr>
                <w:rFonts w:ascii="Open Sans" w:cs="Open Sans" w:eastAsia="Open Sans" w:hAnsi="Open Sans"/>
                <w:color w:val="0D9488"/>
                <w:sz w:val="18"/>
                <w:szCs w:val="18"/>
              </w:rPr>
              <w:t xml:space="preserve">www.forgecyberdefense.com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Montserrat" w:cs="Montserrat" w:eastAsia="Montserrat" w:hAnsi="Montserrat"/>
          <w:b/>
          <w:bCs/>
          <w:color w:val="0F2A4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Montserrat" w:cs="Montserrat" w:eastAsia="Montserrat" w:hAnsi="Montserrat"/>
          <w:b/>
          <w:bCs/>
          <w:color w:val="0F2A4A"/>
          <w:sz w:val="32"/>
          <w:szCs w:val="32"/>
        </w:rPr>
        <w:t xml:space="preserve">Assessment Methodology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The Forge Healthcare AI Governance Assessment is a structured consulting engagement designed to evaluate an organization’s AI governance maturity and produce actionable recommendations for building or strengthening governance programs. The assessment follows a proven methodology adapted from federal compliance assessment frameworks, tailored for the unique requirements of healthcare AI governance.</w:t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Engagement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2-4 weeks depending on organization size and AI portfolio complexity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Lead assessor + 1-2 supporting analysts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CISO, CMIO, Compliance, Legal, Clinical Informatics, IT, Procurement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AI Governance Readiness Report with maturity scores, gap analysis, and roadmap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Follow-on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Optional implementation engagement for policy development and platform deployment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Assessment Phases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Phase 1: Discovery (Days 1-5)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Initial stakeholder interviews and documentation review to understand the organization’s current AI landscape, governance structures, and regulatory obligations.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Kick-off meeting with executive sponsor and key stakeholders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AI portfolio discovery interviews across clinical, IT, and operational departments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Existing policy and procedure documentation review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Current vendor management process evaluation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Regulatory obligation mapping (federal, state, accreditation)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Phase 2: Assessment (Days 6-12)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Structured evaluation across seven governance domains using the Forge AI Governance Maturity Model scoring framework.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Domain-specific assessment interviews with responsible teams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Evidence collection and documentation review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Technical architecture review of AI system integrations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Vendor AI due diligence process evaluation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Compliance gap analysis against applicable frameworks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Phase 3: Analysis &amp; Reporting (Days 13-18)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Synthesis of assessment findings into actionable intelligence with prioritized recommendations.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Maturity score compilation across all seven governance domains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Gap analysis against NIST AI RMF, FDA, ONC, and state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Risk prioritization matrix development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Implementation roadmap with phased recommendations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Executive report preparation and review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Phase 4: Delivery &amp; Briefing (Days 19-20)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Presentation of findings and recommendations to organizational leadership.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Executive briefing with governance committee and leadership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Detailed technical findings walkthrough with implementation teams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Roadmap discussion and prioritization alignment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Q&amp;A and next steps planning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ontserrat" w:cs="Montserrat" w:eastAsia="Montserrat" w:hAnsi="Montserrat"/>
          <w:b/>
          <w:bCs/>
          <w:color w:val="0F2A4A"/>
          <w:sz w:val="32"/>
          <w:szCs w:val="32"/>
        </w:rPr>
        <w:t xml:space="preserve">AI Governance Maturity Model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The Forge AI Governance Maturity Model evaluates organizations across seven domains using a 5-level maturity scale. This model is aligned with NIST AI RMF functions (Govern, Map, Measure, Manage) and extended with healthcare-specific governance requirements.</w:t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Maturity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Initial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No formal governance. AI adopted ad hoc without oversight or documentation.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Developing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Awareness exists. Some informal processes, but inconsistent application.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Defined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Formal policies and processes established. Consistent but manual execution.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Managed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Automated governance workflows. Systematic monitoring and measurement.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Optimized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Continuous improvement. AI governance integrated into enterprise risk management.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1: Governance Structure &amp; Oversight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the organizational structures, roles, and accountability mechanisms for AI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Governance Structure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governance committee exists with defined charter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Cross-functional representation (CISO, CMIO, Legal, Compliance)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Regular meeting cadence (at least quarterly)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Defined escalation and decision authority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Board/C-suite reporting on AI governance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Designated AI governance lead or CAIO role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Budget allocated for AI governance activities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2: AI Inventory &amp; Classification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the organization’s ability to identify, catalog, and classify AI systems across the enterprise.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AI Inventory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Comprehensive AI asset inventory maintained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systems classified by risk tier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Regulatory status tracked (FDA, ONC, etc.)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Data sources and PHI access documented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System ownership and clinical champion assigned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Vendor vs. internal AI clearly distinguished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Inventory updated regularly (at least quarterly)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3: Risk Assessment &amp; Impact Analysis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structured approaches to evaluating AI-specific risks across patient safety, bias, privacy, and regulatory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Risk Assessment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Standardized AI risk assessment process exists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Multi-dimensional risk evaluation (safety, bias, privacy, cyber, regulatory)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Pre-deployment risk assessment required for new AI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Algorithmic impact assessments conducted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Bias testing across demographic groups performed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Risk assessments documented and retained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Risk tier determines governance rigor level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4: Policy &amp; Compliance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the policy framework governing AI use and its alignment with applicable regulatory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Policy &amp; Compliance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acceptable use policy published and distributed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procurement/acquisition policy with AI-specific criteria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Multi-framework compliance mapping maintained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NIST AI RMF alignment documented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FDA SaMD requirements addressed where applicable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State AI legislation requirements mapped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Policy review cycle established (at least annual)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5: Monitoring &amp; Performance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continuous monitoring capabilities for deployed AI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Monitoring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Performance monitoring active for deployed AI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Key metrics defined and tracked (accuracy, precision, etc.)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Drift detection implemented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Bias monitoring across demographic groups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Alerting thresholds established and active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Performance degradation response process exists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Regular governance reporting produced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6: Vendor AI Management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processes for assessing and managing third-party AI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Vendor Management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AI-specific vendor assessment process exists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Training data provenance evaluated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Vendor bias testing results reviewed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Model update practices assessed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Contractual AI provisions included (audit, SLAs)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Ongoing vendor performance monitoring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Vendor risk scoring methodology applied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Domain 7: Transparency &amp; Explainability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Evaluates the organization’s approach to ensuring AI decisions are understandable and communicated appropriately.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800"/>
        <w:gridCol w:w="800"/>
        <w:gridCol w:w="800"/>
        <w:gridCol w:w="800"/>
        <w:gridCol w:w="1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Transparency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Clinician-facing AI explanations provided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Patient notification when AI influences care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decision documentation standards defined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Explainability requirements proportional to risk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Regulatory transparency requirements met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AI training and education program for staff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Incident reporting process includes AI-related events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D1D5DB"/>
                <w:sz w:val="18"/>
                <w:szCs w:val="18"/>
              </w:rPr>
              <w:t xml:space="preserve">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Montserrat" w:cs="Montserrat" w:eastAsia="Montserrat" w:hAnsi="Montserrat"/>
          <w:b/>
          <w:bCs/>
          <w:color w:val="0F2A4A"/>
          <w:sz w:val="32"/>
          <w:szCs w:val="32"/>
        </w:rPr>
        <w:t xml:space="preserve">Assessment Deliverables</w:t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Primary Deliverable: AI Governance Readiness Report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 comprehensive report including the following sections: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1. Executive Summary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High-level findings, overall maturity score, key risks, and strategic recommendations. Designed for board and C-suite consumption.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2. AI Portfolio Overview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Summary of identified AI systems, risk tier distribution, regulatory classifications, and coverage gaps in the current inventory.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3. Domain Maturity Scores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Detailed scoring across all seven governance domains with visual radar chart, domain-by-domain analysis, and supporting evidence.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4. Gap Analysis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Detailed mapping of governance gaps against NIST AI RMF, FDA SaMD, ONC HTI-1, HIPAA, and applicable state requirements. Each gap includes severity rating, regulatory impact, and recommended remediation.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5. Risk Prioritization Matrix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Risk-ranked listing of governance gaps combining likelihood of regulatory exposure with potential impact to patient safety and operations.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6. Implementation Roadmap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Phased recommendations organized into immediate actions (30 days), near-term actions (60-90 days), and strategic initiatives (6-12 months). Each recommendation includes estimated effort, resource requirements, and expected outcomes.</w:t>
      </w:r>
    </w:p>
    <w:p>
      <w:pPr>
        <w:spacing w:before="200" w:after="120"/>
      </w:pPr>
      <w:r>
        <w:rPr>
          <w:rFonts w:ascii="Montserrat" w:cs="Montserrat" w:eastAsia="Montserrat" w:hAnsi="Montserrat"/>
          <w:b/>
          <w:bCs/>
          <w:color w:val="0F2A4A"/>
          <w:sz w:val="22"/>
          <w:szCs w:val="22"/>
        </w:rPr>
        <w:t xml:space="preserve">7. Technology Platform Recommendations</w:t>
      </w:r>
    </w:p>
    <w:p>
      <w:pPr>
        <w:spacing w:after="160" w:line="32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Analysis of governance platform requirements and recommendations for tooling to support scalable governance operations.</w:t>
      </w:r>
    </w:p>
    <w:p>
      <w:pPr>
        <w:pStyle w:val="Heading2"/>
        <w:spacing w:before="280" w:after="160"/>
      </w:pPr>
      <w:r>
        <w:rPr>
          <w:rFonts w:ascii="Montserrat" w:cs="Montserrat" w:eastAsia="Montserrat" w:hAnsi="Montserrat"/>
          <w:b/>
          <w:bCs/>
          <w:color w:val="0D9488"/>
          <w:sz w:val="26"/>
          <w:szCs w:val="26"/>
        </w:rPr>
        <w:t xml:space="preserve">Supporting Deliverables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AI Governance Policy Templates (ready for customization)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AI Risk Assessment Template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Vendor AI Due Diligence Questionnaire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Algorithmic Impact Assessment Template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Governance Committee Charter Template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Regulatory Compliance Cross-Walk Matrix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3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0F2A4A"/>
                <w:spacing w:val="100"/>
                <w:sz w:val="22"/>
                <w:szCs w:val="22"/>
              </w:rPr>
              <w:t xml:space="preserve">SCHEDULE A CONSULTATION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0D9488"/>
                <w:sz w:val="20"/>
                <w:szCs w:val="20"/>
              </w:rPr>
              <w:t xml:space="preserve">www.forgecyberdefense.com</w:t>
            </w:r>
          </w:p>
          <w:p>
            <w:r>
              <w:rPr>
                <w:rFonts w:ascii="Open Sans" w:cs="Open Sans" w:eastAsia="Open Sans" w:hAnsi="Open Sans"/>
                <w:color w:val="4B5563"/>
                <w:sz w:val="18"/>
                <w:szCs w:val="18"/>
              </w:rPr>
              <w:t xml:space="preserve">North Texas  |  100% U.S.-Based Operations  |  SDVOSB Certified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pen Sans" w:cs="Open Sans" w:eastAsia="Open Sans" w:hAnsi="Open Sans"/>
        <w:color w:val="9CA3AF"/>
        <w:sz w:val="16"/>
        <w:szCs w:val="16"/>
      </w:rPr>
      <w:t xml:space="preserve">Page </w:t>
    </w:r>
    <w:r>
      <w:rPr>
        <w:rFonts w:ascii="Open Sans" w:cs="Open Sans" w:eastAsia="Open Sans" w:hAnsi="Open Sans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pen Sans" w:cs="Open Sans" w:eastAsia="Open Sans" w:hAnsi="Open Sans"/>
        <w:color w:val="9CA3AF"/>
        <w:sz w:val="16"/>
        <w:szCs w:val="16"/>
      </w:rPr>
      <w:t xml:space="preserve">Forge Cyber Defense  |  AI Governance Assessment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ontserrat" w:cs="Montserrat" w:eastAsia="Montserrat" w:hAnsi="Montserrat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ontserrat" w:cs="Montserrat" w:eastAsia="Montserrat" w:hAnsi="Montserrat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2026-02-12T01:09:25.540Z</dcterms:created>
  <dcterms:modified xsi:type="dcterms:W3CDTF">2026-02-12T01:09:25.541Z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