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5000" w:hRule="exact"/>
        </w:trPr>
        <w:tc>
          <w:tcPr>
            <w:tcW w:type="dxa" w:w="12240"/>
            <w:tcBorders>
              <w:top w:val="none" w:color="FFFFFF" w:sz="0"/>
              <w:left w:val="none" w:color="FFFFFF" w:sz="0"/>
              <w:bottom w:val="none" w:color="FFFFFF" w:sz="0"/>
              <w:right w:val="none" w:color="FFFFFF" w:sz="0"/>
            </w:tcBorders>
            <w:shd w:fill="0F2A4A" w:val="clear"/>
            <w:tcMar>
              <w:top w:type="dxa" w:w="1200"/>
              <w:left w:type="dxa" w:w="1440"/>
              <w:bottom w:type="dxa" w:w="400"/>
              <w:right w:type="dxa" w:w="1440"/>
            </w:tcMar>
            <w:vAlign w:val="center"/>
          </w:tcPr>
          <w:p>
            <w:pPr>
              <w:spacing w:after="200"/>
            </w:pPr>
            <w:r>
              <w:rPr>
                <w:rFonts w:ascii="Montserrat" w:cs="Montserrat" w:eastAsia="Montserrat" w:hAnsi="Montserrat"/>
                <w:b/>
                <w:bCs/>
                <w:color w:val="14B8A6"/>
                <w:spacing w:val="200"/>
                <w:sz w:val="22"/>
                <w:szCs w:val="22"/>
              </w:rPr>
              <w:t xml:space="preserve">FORGE CYBER DEFENSE</w:t>
            </w:r>
          </w:p>
          <w:p>
            <w:pPr>
              <w:spacing w:after="80"/>
            </w:pPr>
            <w:r>
              <w:rPr>
                <w:rFonts w:ascii="Montserrat" w:cs="Montserrat" w:eastAsia="Montserrat" w:hAnsi="Montserrat"/>
                <w:b/>
                <w:bCs/>
                <w:color w:val="FFFFFF"/>
                <w:sz w:val="48"/>
                <w:szCs w:val="48"/>
              </w:rPr>
              <w:t xml:space="preserve">Healthcare AI Governance</w:t>
            </w:r>
          </w:p>
          <w:p>
            <w:pPr>
              <w:spacing w:after="200"/>
            </w:pPr>
            <w:r>
              <w:rPr>
                <w:rFonts w:ascii="Montserrat" w:cs="Montserrat" w:eastAsia="Montserrat" w:hAnsi="Montserrat"/>
                <w:b/>
                <w:bCs/>
                <w:color w:val="14B8A6"/>
                <w:sz w:val="48"/>
                <w:szCs w:val="48"/>
              </w:rPr>
              <w:t xml:space="preserve">Platform Architecture</w:t>
            </w:r>
          </w:p>
          <w:p>
            <w:pPr>
              <w:spacing w:before="100" w:after="100"/>
            </w:pPr>
          </w:p>
          <w:p>
            <w:r>
              <w:rPr>
                <w:rFonts w:ascii="Open Sans" w:cs="Open Sans" w:eastAsia="Open Sans" w:hAnsi="Open Sans"/>
                <w:color w:val="B0C4DE"/>
                <w:sz w:val="22"/>
                <w:szCs w:val="22"/>
              </w:rPr>
              <w:t xml:space="preserve">Technical Architecture, Data Model &amp; Implementation Guide</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00" w:hRule="exact"/>
        </w:trPr>
        <w:tc>
          <w:tcPr>
            <w:tcW w:type="dxa" w:w="12240"/>
            <w:tcBorders>
              <w:top w:val="none" w:color="FFFFFF" w:sz="0"/>
              <w:left w:val="none" w:color="FFFFFF" w:sz="0"/>
              <w:bottom w:val="none" w:color="FFFFFF" w:sz="0"/>
              <w:right w:val="none" w:color="FFFFFF" w:sz="0"/>
            </w:tcBorders>
            <w:shd w:fill="0D9488" w:val="clear"/>
          </w:tcP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3500" w:hRule="exact"/>
        </w:trPr>
        <w:tc>
          <w:tcPr>
            <w:tcW w:type="dxa" w:w="12240"/>
            <w:tcBorders>
              <w:top w:val="none" w:color="FFFFFF" w:sz="0"/>
              <w:left w:val="none" w:color="FFFFFF" w:sz="0"/>
              <w:bottom w:val="none" w:color="FFFFFF" w:sz="0"/>
              <w:right w:val="none" w:color="FFFFFF" w:sz="0"/>
            </w:tcBorders>
            <w:shd w:fill="F9FAFB" w:val="clear"/>
            <w:tcMar>
              <w:top w:type="dxa" w:w="800"/>
              <w:left w:type="dxa" w:w="1440"/>
              <w:bottom w:type="dxa" w:w="400"/>
              <w:right w:type="dxa" w:w="1440"/>
            </w:tcMar>
          </w:tcPr>
          <w:p>
            <w:pPr>
              <w:spacing w:after="400"/>
            </w:pPr>
            <w:r>
              <w:rPr>
                <w:rFonts w:ascii="Montserrat" w:cs="Montserrat" w:eastAsia="Montserrat" w:hAnsi="Montserrat"/>
                <w:b/>
                <w:bCs/>
                <w:color w:val="0D9488"/>
                <w:spacing w:val="150"/>
                <w:sz w:val="20"/>
                <w:szCs w:val="20"/>
              </w:rPr>
              <w:t xml:space="preserve">TECHNICAL DOCUMENT</w:t>
            </w:r>
          </w:p>
          <w:p>
            <w:pPr>
              <w:spacing w:after="100"/>
            </w:pPr>
            <w:r>
              <w:rPr>
                <w:rFonts w:ascii="Open Sans" w:cs="Open Sans" w:eastAsia="Open Sans" w:hAnsi="Open Sans"/>
                <w:color w:val="4B5563"/>
                <w:sz w:val="20"/>
                <w:szCs w:val="20"/>
              </w:rPr>
              <w:t xml:space="preserve">Version: 1.0  |  February 2025</w:t>
            </w:r>
          </w:p>
          <w:p>
            <w:pPr>
              <w:spacing w:after="400"/>
            </w:pPr>
            <w:r>
              <w:rPr>
                <w:rFonts w:ascii="Open Sans" w:cs="Open Sans" w:eastAsia="Open Sans" w:hAnsi="Open Sans"/>
                <w:color w:val="4B5563"/>
                <w:sz w:val="20"/>
                <w:szCs w:val="20"/>
              </w:rPr>
              <w:t xml:space="preserve">Classification: Internal / Client Confidential</w:t>
            </w:r>
          </w:p>
          <w:p>
            <w:pPr>
              <w:spacing w:before="200" w:after="200"/>
            </w:pPr>
          </w:p>
          <w:p>
            <w:pPr>
              <w:spacing w:after="60"/>
            </w:pPr>
            <w:r>
              <w:rPr>
                <w:rFonts w:ascii="Montserrat" w:cs="Montserrat" w:eastAsia="Montserrat" w:hAnsi="Montserrat"/>
                <w:b/>
                <w:bCs/>
                <w:color w:val="0F2A4A"/>
                <w:sz w:val="22"/>
                <w:szCs w:val="22"/>
              </w:rPr>
              <w:t xml:space="preserve">Forge Cyber Defense</w:t>
            </w:r>
          </w:p>
          <w:p>
            <w:r>
              <w:rPr>
                <w:rFonts w:ascii="Open Sans" w:cs="Open Sans" w:eastAsia="Open Sans" w:hAnsi="Open Sans"/>
                <w:color w:val="0D9488"/>
                <w:sz w:val="18"/>
                <w:szCs w:val="18"/>
              </w:rPr>
              <w:t xml:space="preserve">www.forgecyberdefense.com</w:t>
            </w:r>
          </w:p>
        </w:tc>
      </w:tr>
    </w:tbl>
    <w:p>
      <w:pPr>
        <w:sectPr>
          <w:pgSz w:w="12240" w:h="15840" w:orient="portrait"/>
          <w:pgMar w:top="0" w:right="0" w:bottom="0" w:left="0" w:header="708" w:footer="708" w:gutter="0"/>
          <w:pgNumType/>
          <w:docGrid w:linePitch="360"/>
        </w:sectPr>
      </w:pPr>
    </w:p>
    <w:p>
      <w:pPr>
        <w:spacing w:after="400"/>
      </w:pPr>
      <w:r>
        <w:rPr>
          <w:rFonts w:ascii="Montserrat" w:cs="Montserrat" w:eastAsia="Montserrat" w:hAnsi="Montserrat"/>
          <w:b/>
          <w:bCs/>
          <w:color w:val="0F2A4A"/>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200"/>
      </w:pPr>
      <w:r>
        <w:rPr>
          <w:rFonts w:ascii="Montserrat" w:cs="Montserrat" w:eastAsia="Montserrat" w:hAnsi="Montserrat"/>
          <w:b/>
          <w:bCs/>
          <w:color w:val="0F2A4A"/>
          <w:sz w:val="32"/>
          <w:szCs w:val="32"/>
        </w:rPr>
        <w:t xml:space="preserve">Architecture Overview</w:t>
      </w:r>
    </w:p>
    <w:p>
      <w:pPr>
        <w:spacing w:after="160" w:line="320"/>
      </w:pPr>
      <w:r>
        <w:rPr>
          <w:rFonts w:ascii="Open Sans" w:cs="Open Sans" w:eastAsia="Open Sans" w:hAnsi="Open Sans"/>
          <w:color w:val="333333"/>
          <w:sz w:val="21"/>
          <w:szCs w:val="21"/>
        </w:rPr>
        <w:t xml:space="preserve">The Healthcare AI Governance Platform (ForgeAI Govern™) is designed as a cloud-native, multi-tenant SaaS application built on Cloudflare’s edge computing infrastructure. This architecture provides the scalability, security posture, and compliance foundations required for healthcare organizations managing AI portfolios under federal and state regulatory requirements.</w:t>
      </w:r>
    </w:p>
    <w:p>
      <w:pPr>
        <w:pStyle w:val="Heading2"/>
        <w:spacing w:before="280" w:after="160"/>
      </w:pPr>
      <w:r>
        <w:rPr>
          <w:rFonts w:ascii="Montserrat" w:cs="Montserrat" w:eastAsia="Montserrat" w:hAnsi="Montserrat"/>
          <w:b/>
          <w:bCs/>
          <w:color w:val="0D9488"/>
          <w:sz w:val="26"/>
          <w:szCs w:val="26"/>
        </w:rPr>
        <w:t xml:space="preserve">Architecture Principles</w:t>
      </w:r>
    </w:p>
    <w:p>
      <w:pPr>
        <w:pStyle w:val="ListParagraph"/>
        <w:numPr>
          <w:ilvl w:val="0"/>
          <w:numId w:val="2"/>
        </w:numPr>
        <w:spacing w:after="80" w:line="300"/>
      </w:pPr>
      <w:r>
        <w:rPr>
          <w:rFonts w:ascii="Open Sans" w:cs="Open Sans" w:eastAsia="Open Sans" w:hAnsi="Open Sans"/>
          <w:color w:val="333333"/>
          <w:sz w:val="21"/>
          <w:szCs w:val="21"/>
        </w:rPr>
        <w:t xml:space="preserve">Cloud-native edge computing for global low-latency access</w:t>
      </w:r>
    </w:p>
    <w:p>
      <w:pPr>
        <w:pStyle w:val="ListParagraph"/>
        <w:numPr>
          <w:ilvl w:val="0"/>
          <w:numId w:val="2"/>
        </w:numPr>
        <w:spacing w:after="80" w:line="300"/>
      </w:pPr>
      <w:r>
        <w:rPr>
          <w:rFonts w:ascii="Open Sans" w:cs="Open Sans" w:eastAsia="Open Sans" w:hAnsi="Open Sans"/>
          <w:color w:val="333333"/>
          <w:sz w:val="21"/>
          <w:szCs w:val="21"/>
        </w:rPr>
        <w:t xml:space="preserve">Multi-tenant data isolation with row-level security</w:t>
      </w:r>
    </w:p>
    <w:p>
      <w:pPr>
        <w:pStyle w:val="ListParagraph"/>
        <w:numPr>
          <w:ilvl w:val="0"/>
          <w:numId w:val="2"/>
        </w:numPr>
        <w:spacing w:after="80" w:line="300"/>
      </w:pPr>
      <w:r>
        <w:rPr>
          <w:rFonts w:ascii="Open Sans" w:cs="Open Sans" w:eastAsia="Open Sans" w:hAnsi="Open Sans"/>
          <w:color w:val="333333"/>
          <w:sz w:val="21"/>
          <w:szCs w:val="21"/>
        </w:rPr>
        <w:t xml:space="preserve">Zero-trust authentication and authorization model</w:t>
      </w:r>
    </w:p>
    <w:p>
      <w:pPr>
        <w:pStyle w:val="ListParagraph"/>
        <w:numPr>
          <w:ilvl w:val="0"/>
          <w:numId w:val="2"/>
        </w:numPr>
        <w:spacing w:after="80" w:line="300"/>
      </w:pPr>
      <w:r>
        <w:rPr>
          <w:rFonts w:ascii="Open Sans" w:cs="Open Sans" w:eastAsia="Open Sans" w:hAnsi="Open Sans"/>
          <w:color w:val="333333"/>
          <w:sz w:val="21"/>
          <w:szCs w:val="21"/>
        </w:rPr>
        <w:t xml:space="preserve">API-first design enabling integration with existing GRC tools</w:t>
      </w:r>
    </w:p>
    <w:p>
      <w:pPr>
        <w:pStyle w:val="ListParagraph"/>
        <w:numPr>
          <w:ilvl w:val="0"/>
          <w:numId w:val="2"/>
        </w:numPr>
        <w:spacing w:after="80" w:line="300"/>
      </w:pPr>
      <w:r>
        <w:rPr>
          <w:rFonts w:ascii="Open Sans" w:cs="Open Sans" w:eastAsia="Open Sans" w:hAnsi="Open Sans"/>
          <w:color w:val="333333"/>
          <w:sz w:val="21"/>
          <w:szCs w:val="21"/>
        </w:rPr>
        <w:t xml:space="preserve">HIPAA-compliant data handling and encryption at rest/in transit</w:t>
      </w:r>
    </w:p>
    <w:p>
      <w:pPr>
        <w:pStyle w:val="ListParagraph"/>
        <w:numPr>
          <w:ilvl w:val="0"/>
          <w:numId w:val="2"/>
        </w:numPr>
        <w:spacing w:after="80" w:line="300"/>
      </w:pPr>
      <w:r>
        <w:rPr>
          <w:rFonts w:ascii="Open Sans" w:cs="Open Sans" w:eastAsia="Open Sans" w:hAnsi="Open Sans"/>
          <w:color w:val="333333"/>
          <w:sz w:val="21"/>
          <w:szCs w:val="21"/>
        </w:rPr>
        <w:t xml:space="preserve">Modular microservice design for independent scaling and deployment</w:t>
      </w:r>
    </w:p>
    <w:p>
      <w:pPr>
        <w:pStyle w:val="Heading2"/>
        <w:spacing w:before="280" w:after="160"/>
      </w:pPr>
      <w:r>
        <w:rPr>
          <w:rFonts w:ascii="Montserrat" w:cs="Montserrat" w:eastAsia="Montserrat" w:hAnsi="Montserrat"/>
          <w:b/>
          <w:bCs/>
          <w:color w:val="0D9488"/>
          <w:sz w:val="26"/>
          <w:szCs w:val="2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Layer</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Technology</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Purpose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Frontend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Single-Page Application (HTML/CSS/JS)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Responsive web interface with role-based views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API Gateway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Cloudflare Workers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Edge-deployed API with JWT authentication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Database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Cloudflare D1 (SQLite)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Structured data storage with multi-tenant isolation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File Storage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Cloudflare R2</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Evidence files, documents, and assessment artifacts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Cache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Cloudflare KV</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Session data, feature flags, and configuration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Authentication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JWT + PBKDF2</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Stateless auth with bcrypt-equivalent password hashing</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CDN/Security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Cloudflare CDN + WAF</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DDoS protection, SSL termination, edge caching</w:t>
            </w:r>
          </w:p>
        </w:tc>
      </w:tr>
    </w:tbl>
    <w:p>
      <w:pPr>
        <w:spacing w:before="100" w:after="100"/>
      </w:pPr>
    </w:p>
    <w:p>
      <w:pPr>
        <w:pStyle w:val="Heading2"/>
        <w:spacing w:before="280" w:after="160"/>
      </w:pPr>
      <w:r>
        <w:rPr>
          <w:rFonts w:ascii="Montserrat" w:cs="Montserrat" w:eastAsia="Montserrat" w:hAnsi="Montserrat"/>
          <w:b/>
          <w:bCs/>
          <w:color w:val="0D9488"/>
          <w:sz w:val="26"/>
          <w:szCs w:val="26"/>
        </w:rPr>
        <w:t xml:space="preserve">Deployment Architecture</w:t>
      </w:r>
    </w:p>
    <w:p>
      <w:pPr>
        <w:spacing w:after="160" w:line="320"/>
      </w:pPr>
      <w:r>
        <w:rPr>
          <w:rFonts w:ascii="Open Sans" w:cs="Open Sans" w:eastAsia="Open Sans" w:hAnsi="Open Sans"/>
          <w:color w:val="333333"/>
          <w:sz w:val="21"/>
          <w:szCs w:val="21"/>
        </w:rPr>
        <w:t xml:space="preserve">The platform leverages Cloudflare’s global edge network, deploying API workers to 300+ locations worldwide. This architecture eliminates the need for traditional server provisioning while providing enterprise-grade availability and performance. All data resides within U.S. data centers to satisfy federal data residency requirements.</w:t>
      </w:r>
    </w:p>
    <w:p>
      <w:pPr>
        <w:spacing w:after="160" w:line="320"/>
      </w:pPr>
      <w:r>
        <w:rPr>
          <w:rFonts w:ascii="Open Sans" w:cs="Open Sans" w:eastAsia="Open Sans" w:hAnsi="Open Sans"/>
          <w:color w:val="333333"/>
          <w:sz w:val="21"/>
          <w:szCs w:val="21"/>
        </w:rPr>
        <w:t xml:space="preserve">Key architectural benefits include automatic scaling with zero infrastructure management, sub-100ms API response times from edge deployment, built-in DDoS protection and Web Application Firewall capabilities, automatic SSL/TLS certificate provisioning and renewal, and deployment through Cloudflare’s web dashboard without requiring CLI tools.</w:t>
      </w:r>
    </w:p>
    <w:p>
      <w:r>
        <w:br w:type="page"/>
      </w:r>
    </w:p>
    <w:p>
      <w:pPr>
        <w:pStyle w:val="Heading1"/>
        <w:spacing w:before="360" w:after="200"/>
      </w:pPr>
      <w:r>
        <w:rPr>
          <w:rFonts w:ascii="Montserrat" w:cs="Montserrat" w:eastAsia="Montserrat" w:hAnsi="Montserrat"/>
          <w:b/>
          <w:bCs/>
          <w:color w:val="0F2A4A"/>
          <w:sz w:val="32"/>
          <w:szCs w:val="32"/>
        </w:rPr>
        <w:t xml:space="preserve">Data Model</w:t>
      </w:r>
    </w:p>
    <w:p>
      <w:pPr>
        <w:spacing w:after="160" w:line="320"/>
      </w:pPr>
      <w:r>
        <w:rPr>
          <w:rFonts w:ascii="Open Sans" w:cs="Open Sans" w:eastAsia="Open Sans" w:hAnsi="Open Sans"/>
          <w:color w:val="333333"/>
          <w:sz w:val="21"/>
          <w:szCs w:val="21"/>
        </w:rPr>
        <w:t xml:space="preserve">The database schema is designed around a multi-tenant architecture where every data entity is associated with a tenant (organization). This ensures complete data isolation between healthcare organizations while enabling efficient cross-tenant platform administration.</w:t>
      </w:r>
    </w:p>
    <w:p>
      <w:pPr>
        <w:pStyle w:val="Heading2"/>
        <w:spacing w:before="280" w:after="160"/>
      </w:pPr>
      <w:r>
        <w:rPr>
          <w:rFonts w:ascii="Montserrat" w:cs="Montserrat" w:eastAsia="Montserrat" w:hAnsi="Montserrat"/>
          <w:b/>
          <w:bCs/>
          <w:color w:val="0D9488"/>
          <w:sz w:val="26"/>
          <w:szCs w:val="26"/>
        </w:rPr>
        <w:t xml:space="preserve">Core Entities</w:t>
      </w:r>
    </w:p>
    <w:p>
      <w:pPr>
        <w:spacing w:before="200" w:after="120"/>
      </w:pPr>
      <w:r>
        <w:rPr>
          <w:rFonts w:ascii="Montserrat" w:cs="Montserrat" w:eastAsia="Montserrat" w:hAnsi="Montserrat"/>
          <w:b/>
          <w:bCs/>
          <w:color w:val="0F2A4A"/>
          <w:sz w:val="22"/>
          <w:szCs w:val="22"/>
        </w:rPr>
        <w:t xml:space="preserve">Tenants</w:t>
      </w:r>
    </w:p>
    <w:p>
      <w:pPr>
        <w:spacing w:after="160" w:line="320"/>
      </w:pPr>
      <w:r>
        <w:rPr>
          <w:rFonts w:ascii="Open Sans" w:cs="Open Sans" w:eastAsia="Open Sans" w:hAnsi="Open Sans"/>
          <w:color w:val="333333"/>
          <w:sz w:val="21"/>
          <w:szCs w:val="21"/>
        </w:rPr>
        <w:t xml:space="preserve">The tenants table represents healthcare organizations using the platform. Each tenant has its own isolated data space for AI assets, assessments, and compliance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Column</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Type</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Description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id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UUID (PK)</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Unique tenant identifier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name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VARCHAR(255)</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Organization name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slug</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VARCHAR(50)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URL-safe identifier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plan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ENUM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Subscription tier (trial, starter, professional, enterprise)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settings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JSON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Tenant-specific configuration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hipaa_baa_signed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BOOLEAN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HIPAA Business Associate Agreement status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status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ENUM</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Account status (active, suspended, inactive)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created_at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TIMESTAMP</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Account creation date</w:t>
            </w:r>
          </w:p>
        </w:tc>
      </w:tr>
    </w:tbl>
    <w:p>
      <w:pPr>
        <w:spacing w:before="100" w:after="100"/>
      </w:pPr>
    </w:p>
    <w:p>
      <w:pPr>
        <w:spacing w:before="200" w:after="120"/>
      </w:pPr>
      <w:r>
        <w:rPr>
          <w:rFonts w:ascii="Montserrat" w:cs="Montserrat" w:eastAsia="Montserrat" w:hAnsi="Montserrat"/>
          <w:b/>
          <w:bCs/>
          <w:color w:val="0F2A4A"/>
          <w:sz w:val="22"/>
          <w:szCs w:val="22"/>
        </w:rPr>
        <w:t xml:space="preserve">Users</w:t>
      </w:r>
    </w:p>
    <w:p>
      <w:pPr>
        <w:spacing w:after="160" w:line="320"/>
      </w:pPr>
      <w:r>
        <w:rPr>
          <w:rFonts w:ascii="Open Sans" w:cs="Open Sans" w:eastAsia="Open Sans" w:hAnsi="Open Sans"/>
          <w:color w:val="333333"/>
          <w:sz w:val="21"/>
          <w:szCs w:val="21"/>
        </w:rPr>
        <w:t xml:space="preserve">Multi-role user accounts with tenant-scoped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Column</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Type</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Description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id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UUID (PK)</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Unique user identifier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tenant_id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UUID (FK)</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Parent organization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email</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VARCHAR(255)</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Login email (unique per tenant)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password_hash</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VARCHAR(512)</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PBKDF2 hashed password</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first_name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VARCHAR(100)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First name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last_name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VARCHAR(100)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Last name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role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ENUM</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Platform role (admin, governance_lead, reviewer, viewer)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mfa_enabled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BOOLEAN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Multi-factor authentication status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last_login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TIMESTAMP</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Most recent login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status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ENUM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Account status (active, locked, deactivated)</w:t>
            </w:r>
          </w:p>
        </w:tc>
      </w:tr>
    </w:tbl>
    <w:p>
      <w:pPr>
        <w:spacing w:before="100" w:after="100"/>
      </w:pPr>
    </w:p>
    <w:p>
      <w:pPr>
        <w:spacing w:before="200" w:after="120"/>
      </w:pPr>
      <w:r>
        <w:rPr>
          <w:rFonts w:ascii="Montserrat" w:cs="Montserrat" w:eastAsia="Montserrat" w:hAnsi="Montserrat"/>
          <w:b/>
          <w:bCs/>
          <w:color w:val="0F2A4A"/>
          <w:sz w:val="22"/>
          <w:szCs w:val="22"/>
        </w:rPr>
        <w:t xml:space="preserve">AI Assets</w:t>
      </w:r>
    </w:p>
    <w:p>
      <w:pPr>
        <w:spacing w:after="160" w:line="320"/>
      </w:pPr>
      <w:r>
        <w:rPr>
          <w:rFonts w:ascii="Open Sans" w:cs="Open Sans" w:eastAsia="Open Sans" w:hAnsi="Open Sans"/>
          <w:color w:val="333333"/>
          <w:sz w:val="21"/>
          <w:szCs w:val="21"/>
        </w:rPr>
        <w:t xml:space="preserve">The central registry of all AI/ML systems within a tenant’s portfolio. This is the foundational entity that all governance activities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Column</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Type</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Description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id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UUID (PK)</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Unique asset identifier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tenant_id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UUID (FK)</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Parent organization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name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VARCHAR(255)</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AI system name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vendor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VARCHAR(255)</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Vendor/developer name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version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VARCHAR(50)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Current version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category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ENUM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Clinical decision support, diagnostic, operational, administrative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risk_tier</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ENUM</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High, moderate, low (per governance policy)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fda_classification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VARCHAR(100)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FDA clearance status if applicable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data_sources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JSON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Array of data inputs (EHR, imaging, claims, etc.)</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phi_access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BOOLEAN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Whether system accesses protected health information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deployment_status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ENUM</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Proposed, validating, deployed, monitoring, decommissioned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owner_user_id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UUID (FK)</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Designated AI system owner</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clinical_champion_id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UUID (FK)</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Clinical oversight lead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description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TEXT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System description and use case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created_at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TIMESTAMP</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Registration date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updated_at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TIMESTAMP</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Last modified</w:t>
            </w:r>
          </w:p>
        </w:tc>
      </w:tr>
    </w:tbl>
    <w:p>
      <w:pPr>
        <w:spacing w:before="100" w:after="100"/>
      </w:pPr>
    </w:p>
    <w:p>
      <w:r>
        <w:br w:type="page"/>
      </w:r>
    </w:p>
    <w:p>
      <w:pPr>
        <w:spacing w:before="200" w:after="120"/>
      </w:pPr>
      <w:r>
        <w:rPr>
          <w:rFonts w:ascii="Montserrat" w:cs="Montserrat" w:eastAsia="Montserrat" w:hAnsi="Montserrat"/>
          <w:b/>
          <w:bCs/>
          <w:color w:val="0F2A4A"/>
          <w:sz w:val="22"/>
          <w:szCs w:val="22"/>
        </w:rPr>
        <w:t xml:space="preserve">Risk Assessments</w:t>
      </w:r>
    </w:p>
    <w:p>
      <w:pPr>
        <w:spacing w:after="160" w:line="320"/>
      </w:pPr>
      <w:r>
        <w:rPr>
          <w:rFonts w:ascii="Open Sans" w:cs="Open Sans" w:eastAsia="Open Sans" w:hAnsi="Open Sans"/>
          <w:color w:val="333333"/>
          <w:sz w:val="21"/>
          <w:szCs w:val="21"/>
        </w:rPr>
        <w:t xml:space="preserve">Structured risk evaluation records tied to AI assets, supporting the NIST AI RMF Measure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Column</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Type</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Description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id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UUID (PK)</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Assessment identifier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tenant_id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UUID (FK)</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Parent organization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ai_asset_id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UUID (FK)</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Assessed AI system</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assessment_type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ENUM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Initial, periodic, triggered, pre-deployment</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assessor_id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UUID (FK)</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User conducting assessment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patient_safety_score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INTEGER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Risk score (1-5)</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bias_fairness_score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INTEGER</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Risk score (1-5)</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data_privacy_score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INTEGER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Risk score (1-5)</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clinical_validity_score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INTEGER</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Risk score (1-5)</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cybersecurity_score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INTEGER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Risk score (1-5)</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regulatory_score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INTEGER</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Risk score (1-5)</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overall_risk_level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ENUM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Critical, high, moderate, low</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findings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JSON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Detailed findings per dimension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recommendations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TEXT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Recommended actions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status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ENUM</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Draft, in_review, approved, rejected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approved_by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UUID (FK)</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Approving authority</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completed_at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TIMESTAMP</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Completion date</w:t>
            </w:r>
          </w:p>
        </w:tc>
      </w:tr>
    </w:tbl>
    <w:p>
      <w:pPr>
        <w:spacing w:before="100" w:after="100"/>
      </w:pPr>
    </w:p>
    <w:p>
      <w:pPr>
        <w:spacing w:before="200" w:after="120"/>
      </w:pPr>
      <w:r>
        <w:rPr>
          <w:rFonts w:ascii="Montserrat" w:cs="Montserrat" w:eastAsia="Montserrat" w:hAnsi="Montserrat"/>
          <w:b/>
          <w:bCs/>
          <w:color w:val="0F2A4A"/>
          <w:sz w:val="22"/>
          <w:szCs w:val="22"/>
        </w:rPr>
        <w:t xml:space="preserve">Algorithmic Impact Assessments</w:t>
      </w:r>
    </w:p>
    <w:p>
      <w:pPr>
        <w:spacing w:after="160" w:line="320"/>
      </w:pPr>
      <w:r>
        <w:rPr>
          <w:rFonts w:ascii="Open Sans" w:cs="Open Sans" w:eastAsia="Open Sans" w:hAnsi="Open Sans"/>
          <w:color w:val="333333"/>
          <w:sz w:val="21"/>
          <w:szCs w:val="21"/>
        </w:rPr>
        <w:t xml:space="preserve">Structured bias and fairness evaluations aligned with state AI legislation requirements and NIST AI RMF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Column</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Type</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Description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id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UUID (PK)</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AIA identifier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tenant_id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UUID (FK)</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Parent organization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ai_asset_id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UUID (FK)</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Assessed AI system</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assessment_period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VARCHAR(50)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Reporting period</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demographic_groups_tested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JSON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Protected classes evaluated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performance_by_group</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JSON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Disaggregated metrics per group</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bias_indicators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JSON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Statistical parity, equal opportunity, etc.</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drift_detected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BOOLEAN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Whether significant drift found</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drift_details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JSON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Drift analysis details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clinical_outcomes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JSON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Outcome correlation data</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remediation_required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BOOLEAN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Whether remediation needed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remediation_plan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TEXT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Planned corrections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status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ENUM</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Scheduled, in_progress, completed, overdue</w:t>
            </w:r>
          </w:p>
        </w:tc>
      </w:tr>
    </w:tbl>
    <w:p>
      <w:pPr>
        <w:spacing w:before="100" w:after="100"/>
      </w:pPr>
    </w:p>
    <w:p>
      <w:r>
        <w:br w:type="page"/>
      </w:r>
    </w:p>
    <w:p>
      <w:pPr>
        <w:spacing w:before="200" w:after="120"/>
      </w:pPr>
      <w:r>
        <w:rPr>
          <w:rFonts w:ascii="Montserrat" w:cs="Montserrat" w:eastAsia="Montserrat" w:hAnsi="Montserrat"/>
          <w:b/>
          <w:bCs/>
          <w:color w:val="0F2A4A"/>
          <w:sz w:val="22"/>
          <w:szCs w:val="22"/>
        </w:rPr>
        <w:t xml:space="preserve">Compliance Controls</w:t>
      </w:r>
    </w:p>
    <w:p>
      <w:pPr>
        <w:spacing w:after="160" w:line="320"/>
      </w:pPr>
      <w:r>
        <w:rPr>
          <w:rFonts w:ascii="Open Sans" w:cs="Open Sans" w:eastAsia="Open Sans" w:hAnsi="Open Sans"/>
          <w:color w:val="333333"/>
          <w:sz w:val="21"/>
          <w:szCs w:val="21"/>
        </w:rPr>
        <w:t xml:space="preserve">The governance control catalog mapped across multiple regulatory frameworks, enabling unified compliance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Column</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Type</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Description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id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UUID (PK)</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Control identifier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control_id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VARCHAR(50)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Framework-specific control ID (e.g., GOV-1, MAP-2.1)</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family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VARCHAR(100)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Control family (Govern, Map, Measure, Manage)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title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VARCHAR(255)</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Control name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description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TEXT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Full control description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nist_ai_rmf_ref</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VARCHAR(50)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NIST AI RMF mapping</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fda_samd_ref</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VARCHAR(50)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FDA SaMD framework mapping</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onc_hti1_ref</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VARCHAR(50)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ONC HTI-1 mapping</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hipaa_ref</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VARCHAR(50)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HIPAA mapping</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state_law_refs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JSON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State-level regulation mappings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risk_tiers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JSON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Applicable risk tiers</w:t>
            </w:r>
          </w:p>
        </w:tc>
      </w:tr>
    </w:tbl>
    <w:p>
      <w:pPr>
        <w:spacing w:before="100" w:after="100"/>
      </w:pPr>
    </w:p>
    <w:p>
      <w:pPr>
        <w:spacing w:before="200" w:after="120"/>
      </w:pPr>
      <w:r>
        <w:rPr>
          <w:rFonts w:ascii="Montserrat" w:cs="Montserrat" w:eastAsia="Montserrat" w:hAnsi="Montserrat"/>
          <w:b/>
          <w:bCs/>
          <w:color w:val="0F2A4A"/>
          <w:sz w:val="22"/>
          <w:szCs w:val="22"/>
        </w:rPr>
        <w:t xml:space="preserve">Control Implementations</w:t>
      </w:r>
    </w:p>
    <w:p>
      <w:pPr>
        <w:spacing w:after="160" w:line="320"/>
      </w:pPr>
      <w:r>
        <w:rPr>
          <w:rFonts w:ascii="Open Sans" w:cs="Open Sans" w:eastAsia="Open Sans" w:hAnsi="Open Sans"/>
          <w:color w:val="333333"/>
          <w:sz w:val="21"/>
          <w:szCs w:val="21"/>
        </w:rPr>
        <w:t xml:space="preserve">Records of how each tenant has implemented governance controls for specific AI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Column</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Type</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Description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id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UUID (PK)</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Implementation identifier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tenant_id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UUID (FK)</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Parent organization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ai_asset_id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UUID (FK)</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Related AI system</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control_id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UUID (FK)</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Governance control</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implementation_status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ENUM</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Implemented, partially, planned, not_applicable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implementation_details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TEXT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How control is satisfied</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evidence_ids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JSON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Array of evidence document references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responsible_party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UUID (FK)</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Accountable user</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last_reviewed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TIMESTAMP</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Most recent review date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next_review</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TIMESTAMP</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Scheduled review date</w:t>
            </w:r>
          </w:p>
        </w:tc>
      </w:tr>
    </w:tbl>
    <w:p>
      <w:pPr>
        <w:spacing w:before="100" w:after="100"/>
      </w:pPr>
    </w:p>
    <w:p>
      <w:pPr>
        <w:spacing w:before="200" w:after="120"/>
      </w:pPr>
      <w:r>
        <w:rPr>
          <w:rFonts w:ascii="Montserrat" w:cs="Montserrat" w:eastAsia="Montserrat" w:hAnsi="Montserrat"/>
          <w:b/>
          <w:bCs/>
          <w:color w:val="0F2A4A"/>
          <w:sz w:val="22"/>
          <w:szCs w:val="22"/>
        </w:rPr>
        <w:t xml:space="preserve">Vendor Assessments</w:t>
      </w:r>
    </w:p>
    <w:p>
      <w:pPr>
        <w:spacing w:after="160" w:line="320"/>
      </w:pPr>
      <w:r>
        <w:rPr>
          <w:rFonts w:ascii="Open Sans" w:cs="Open Sans" w:eastAsia="Open Sans" w:hAnsi="Open Sans"/>
          <w:color w:val="333333"/>
          <w:sz w:val="21"/>
          <w:szCs w:val="21"/>
        </w:rPr>
        <w:t xml:space="preserve">AI-specific vendor due diligence records for third-party AI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Column</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Type</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Description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id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UUID (PK)</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Assessment identifier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tenant_id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UUID (FK)</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Parent organization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vendor_name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VARCHAR(255)</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Vendor company name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product_name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VARCHAR(255)</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AI product/tool name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ai_asset_id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UUID (FK)</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Linked AI asset if deployed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training_data_provenance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TEXT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Training data sources and representativeness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bias_testing_results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JSON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Vendor-provided bias testing data</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model_update_practices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TEXT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Retraining and update procedures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data_security_controls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JSON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Security assessment results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contractual_provisions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JSON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Audit rights, SLAs, performance guarantees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risk_score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INTEGER</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Overall vendor risk score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recommendation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ENUM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Approved, conditional, rejected</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assessed_by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UUID (FK)</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Assessor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assessed_at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TIMESTAMP</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Assessment date</w:t>
            </w:r>
          </w:p>
        </w:tc>
      </w:tr>
    </w:tbl>
    <w:p>
      <w:pPr>
        <w:spacing w:before="100" w:after="100"/>
      </w:pPr>
    </w:p>
    <w:p>
      <w:r>
        <w:br w:type="page"/>
      </w:r>
    </w:p>
    <w:p>
      <w:pPr>
        <w:spacing w:before="200" w:after="120"/>
      </w:pPr>
      <w:r>
        <w:rPr>
          <w:rFonts w:ascii="Montserrat" w:cs="Montserrat" w:eastAsia="Montserrat" w:hAnsi="Montserrat"/>
          <w:b/>
          <w:bCs/>
          <w:color w:val="0F2A4A"/>
          <w:sz w:val="22"/>
          <w:szCs w:val="22"/>
        </w:rPr>
        <w:t xml:space="preserve">Monitoring Metrics</w:t>
      </w:r>
    </w:p>
    <w:p>
      <w:pPr>
        <w:spacing w:after="160" w:line="320"/>
      </w:pPr>
      <w:r>
        <w:rPr>
          <w:rFonts w:ascii="Open Sans" w:cs="Open Sans" w:eastAsia="Open Sans" w:hAnsi="Open Sans"/>
          <w:color w:val="333333"/>
          <w:sz w:val="21"/>
          <w:szCs w:val="21"/>
        </w:rPr>
        <w:t xml:space="preserve">Time-series performance and bias data captured from deployed AI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Column</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Type</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Description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id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UUID (PK)</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Metric record identifier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tenant_id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UUID (FK)</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Parent organization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ai_asset_id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UUID (FK)</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Monitored AI system</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metric_type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ENUM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Accuracy, precision, recall, f1, bias_index, drift_score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metric_value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DECIMAL</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Measured value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threshold_min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DECIMAL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Minimum acceptable value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threshold_max</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DECIMAL</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Maximum acceptable value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alert_triggered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BOOLEAN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Whether threshold was breached</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demographic_group</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VARCHAR(100)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Applicable demographic group (if bias metric)</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recorded_at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TIMESTAMP</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Measurement timestamp</w:t>
            </w:r>
          </w:p>
        </w:tc>
      </w:tr>
    </w:tbl>
    <w:p>
      <w:pPr>
        <w:spacing w:before="100" w:after="100"/>
      </w:pPr>
    </w:p>
    <w:p>
      <w:pPr>
        <w:spacing w:before="200" w:after="120"/>
      </w:pPr>
      <w:r>
        <w:rPr>
          <w:rFonts w:ascii="Montserrat" w:cs="Montserrat" w:eastAsia="Montserrat" w:hAnsi="Montserrat"/>
          <w:b/>
          <w:bCs/>
          <w:color w:val="0F2A4A"/>
          <w:sz w:val="22"/>
          <w:szCs w:val="22"/>
        </w:rPr>
        <w:t xml:space="preserve">Audit Log</w:t>
      </w:r>
    </w:p>
    <w:p>
      <w:pPr>
        <w:spacing w:after="160" w:line="320"/>
      </w:pPr>
      <w:r>
        <w:rPr>
          <w:rFonts w:ascii="Open Sans" w:cs="Open Sans" w:eastAsia="Open Sans" w:hAnsi="Open Sans"/>
          <w:color w:val="333333"/>
          <w:sz w:val="21"/>
          <w:szCs w:val="21"/>
        </w:rPr>
        <w:t xml:space="preserve">Comprehensive audit trail for all governance activities, supporting regulatory compliance and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Column</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Type</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Description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id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UUID (PK)</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Log entry identifier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tenant_id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UUID (FK)</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Parent organization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user_id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UUID (FK)</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Acting user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action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VARCHAR(100)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Action performed (create, update, approve, etc.)</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entity_type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VARCHAR(50)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Affected entity type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entity_id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UUID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Affected entity ID</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details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JSON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Change details (before/after values)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ip_address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VARCHAR(45)</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Client IP</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created_at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TIMESTAMP</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Action timestamp</w:t>
            </w:r>
          </w:p>
        </w:tc>
      </w:tr>
    </w:tbl>
    <w:p>
      <w:pPr>
        <w:spacing w:before="100" w:after="100"/>
      </w:pPr>
    </w:p>
    <w:p>
      <w:r>
        <w:br w:type="page"/>
      </w:r>
    </w:p>
    <w:p>
      <w:pPr>
        <w:pStyle w:val="Heading1"/>
        <w:spacing w:before="360" w:after="200"/>
      </w:pPr>
      <w:r>
        <w:rPr>
          <w:rFonts w:ascii="Montserrat" w:cs="Montserrat" w:eastAsia="Montserrat" w:hAnsi="Montserrat"/>
          <w:b/>
          <w:bCs/>
          <w:color w:val="0F2A4A"/>
          <w:sz w:val="32"/>
          <w:szCs w:val="32"/>
        </w:rPr>
        <w:t xml:space="preserve">API Design</w:t>
      </w:r>
    </w:p>
    <w:p>
      <w:pPr>
        <w:spacing w:after="160" w:line="320"/>
      </w:pPr>
      <w:r>
        <w:rPr>
          <w:rFonts w:ascii="Open Sans" w:cs="Open Sans" w:eastAsia="Open Sans" w:hAnsi="Open Sans"/>
          <w:color w:val="333333"/>
          <w:sz w:val="21"/>
          <w:szCs w:val="21"/>
        </w:rPr>
        <w:t xml:space="preserve">The platform API follows RESTful conventions with JWT-based authentication. All endpoints are tenant-scoped, ensuring data isolation at the API layer.</w:t>
      </w:r>
    </w:p>
    <w:p>
      <w:pPr>
        <w:pStyle w:val="Heading2"/>
        <w:spacing w:before="280" w:after="160"/>
      </w:pPr>
      <w:r>
        <w:rPr>
          <w:rFonts w:ascii="Montserrat" w:cs="Montserrat" w:eastAsia="Montserrat" w:hAnsi="Montserrat"/>
          <w:b/>
          <w:bCs/>
          <w:color w:val="0D9488"/>
          <w:sz w:val="26"/>
          <w:szCs w:val="26"/>
        </w:rPr>
        <w:t xml:space="preserve">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Method</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Endpoint</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Description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POST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/api/v1/auth/register</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Create new tenant and admin user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POST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/api/v1/auth/login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Authenticate and receive JWT token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POST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/api/v1/auth/refresh</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Refresh expired access token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POST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/api/v1/auth/mfa/setup</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Configure multi-factor authentication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POST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/api/v1/auth/mfa/verify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Verify MFA code</w:t>
            </w:r>
          </w:p>
        </w:tc>
      </w:tr>
    </w:tbl>
    <w:p>
      <w:pPr>
        <w:spacing w:before="100" w:after="100"/>
      </w:pPr>
    </w:p>
    <w:p>
      <w:pPr>
        <w:pStyle w:val="Heading2"/>
        <w:spacing w:before="280" w:after="160"/>
      </w:pPr>
      <w:r>
        <w:rPr>
          <w:rFonts w:ascii="Montserrat" w:cs="Montserrat" w:eastAsia="Montserrat" w:hAnsi="Montserrat"/>
          <w:b/>
          <w:bCs/>
          <w:color w:val="0D9488"/>
          <w:sz w:val="26"/>
          <w:szCs w:val="26"/>
        </w:rPr>
        <w:t xml:space="preserve">AI Asset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Method</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Endpoint</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Description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GET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/api/v1/ai-assets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List all AI assets in portfolio</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POST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/api/v1/ai-assets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Register new AI asset</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GET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/api/v1/ai-assets/:id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Get AI asset details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PUT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/api/v1/ai-assets/:id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Update AI asset information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DELETE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/api/v1/ai-assets/:id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Decommission AI asset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GET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/api/v1/ai-assets/:id/risk-history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Get risk assessment history</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GET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/api/v1/ai-assets/:id/metrics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Get monitoring metrics</w:t>
            </w:r>
          </w:p>
        </w:tc>
      </w:tr>
    </w:tbl>
    <w:p>
      <w:pPr>
        <w:spacing w:before="100" w:after="100"/>
      </w:pPr>
    </w:p>
    <w:p>
      <w:pPr>
        <w:pStyle w:val="Heading2"/>
        <w:spacing w:before="280" w:after="160"/>
      </w:pPr>
      <w:r>
        <w:rPr>
          <w:rFonts w:ascii="Montserrat" w:cs="Montserrat" w:eastAsia="Montserrat" w:hAnsi="Montserrat"/>
          <w:b/>
          <w:bCs/>
          <w:color w:val="0D9488"/>
          <w:sz w:val="26"/>
          <w:szCs w:val="26"/>
        </w:rPr>
        <w:t xml:space="preserve">Risk Assessment &amp;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Method</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Endpoint</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Description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GET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/api/v1/risk-assessments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List risk assessments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POST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/api/v1/risk-assessments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Create new risk assessment</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PUT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/api/v1/risk-assessments/:id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Update assessment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POST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/api/v1/risk-assessments/:id/approve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Submit for approval</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GET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/api/v1/impact-assessments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List algorithmic impact assessments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POST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/api/v1/impact-assessments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Create new AIA</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PUT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/api/v1/impact-assessments/:id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Update AIA findings</w:t>
            </w:r>
          </w:p>
        </w:tc>
      </w:tr>
    </w:tbl>
    <w:p>
      <w:pPr>
        <w:spacing w:before="100" w:after="100"/>
      </w:pPr>
    </w:p>
    <w:p>
      <w:pPr>
        <w:pStyle w:val="Heading2"/>
        <w:spacing w:before="280" w:after="160"/>
      </w:pPr>
      <w:r>
        <w:rPr>
          <w:rFonts w:ascii="Montserrat" w:cs="Montserrat" w:eastAsia="Montserrat" w:hAnsi="Montserrat"/>
          <w:b/>
          <w:bCs/>
          <w:color w:val="0D9488"/>
          <w:sz w:val="26"/>
          <w:szCs w:val="26"/>
        </w:rPr>
        <w:t xml:space="preserve">Compliance &amp;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Method</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Endpoint</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Description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GET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/api/v1/controls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List governance control catalog</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GET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/api/v1/controls/:id/frameworks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Get cross-framework mappings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GET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/api/v1/implementations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List control implementations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POST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/api/v1/implementations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Record control implementation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GET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/api/v1/dashboard/stats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Portfolio governance statistics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GET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/api/v1/reports/compliance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Generate compliance report</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GET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/api/v1/reports/executive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Generate executive summary</w:t>
            </w:r>
          </w:p>
        </w:tc>
      </w:tr>
    </w:tbl>
    <w:p>
      <w:pPr>
        <w:spacing w:before="100" w:after="100"/>
      </w:pPr>
    </w:p>
    <w:p>
      <w:pPr>
        <w:pStyle w:val="Heading2"/>
        <w:spacing w:before="280" w:after="160"/>
      </w:pPr>
      <w:r>
        <w:rPr>
          <w:rFonts w:ascii="Montserrat" w:cs="Montserrat" w:eastAsia="Montserrat" w:hAnsi="Montserrat"/>
          <w:b/>
          <w:bCs/>
          <w:color w:val="0D9488"/>
          <w:sz w:val="26"/>
          <w:szCs w:val="26"/>
        </w:rPr>
        <w:t xml:space="preserve">Vendor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Method</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Endpoint</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8"/>
                <w:szCs w:val="18"/>
              </w:rPr>
              <w:t xml:space="preserve">Description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GET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/api/v1/vendor-assessments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List vendor assessments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POST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/api/v1/vendor-assessments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Create vendor assessment</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PUT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/api/v1/vendor-assessments/:id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8"/>
                <w:szCs w:val="18"/>
              </w:rPr>
              <w:t xml:space="preserve">Update assessment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POST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/api/v1/vendor-assessments/:id/score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8"/>
                <w:szCs w:val="18"/>
              </w:rPr>
              <w:t xml:space="preserve">Calculate risk score</w:t>
            </w:r>
          </w:p>
        </w:tc>
      </w:tr>
    </w:tbl>
    <w:p>
      <w:pPr>
        <w:spacing w:before="100" w:after="100"/>
      </w:pPr>
    </w:p>
    <w:p>
      <w:r>
        <w:br w:type="page"/>
      </w:r>
    </w:p>
    <w:p>
      <w:pPr>
        <w:pStyle w:val="Heading1"/>
        <w:spacing w:before="360" w:after="200"/>
      </w:pPr>
      <w:r>
        <w:rPr>
          <w:rFonts w:ascii="Montserrat" w:cs="Montserrat" w:eastAsia="Montserrat" w:hAnsi="Montserrat"/>
          <w:b/>
          <w:bCs/>
          <w:color w:val="0F2A4A"/>
          <w:sz w:val="32"/>
          <w:szCs w:val="32"/>
        </w:rPr>
        <w:t xml:space="preserve">Security Architecture</w:t>
      </w:r>
    </w:p>
    <w:p>
      <w:pPr>
        <w:spacing w:after="160" w:line="320"/>
      </w:pPr>
      <w:r>
        <w:rPr>
          <w:rFonts w:ascii="Open Sans" w:cs="Open Sans" w:eastAsia="Open Sans" w:hAnsi="Open Sans"/>
          <w:color w:val="333333"/>
          <w:sz w:val="21"/>
          <w:szCs w:val="21"/>
        </w:rPr>
        <w:t xml:space="preserve">As a platform designed for healthcare organizations managing AI systems that process PHI, security is foundational to every architectural decision.</w:t>
      </w:r>
    </w:p>
    <w:p>
      <w:pPr>
        <w:pStyle w:val="Heading2"/>
        <w:spacing w:before="280" w:after="160"/>
      </w:pPr>
      <w:r>
        <w:rPr>
          <w:rFonts w:ascii="Montserrat" w:cs="Montserrat" w:eastAsia="Montserrat" w:hAnsi="Montserrat"/>
          <w:b/>
          <w:bCs/>
          <w:color w:val="0D9488"/>
          <w:sz w:val="26"/>
          <w:szCs w:val="26"/>
        </w:rPr>
        <w:t xml:space="preserve">Authentication &amp; Authorization</w:t>
      </w:r>
    </w:p>
    <w:p>
      <w:pPr>
        <w:pStyle w:val="ListParagraph"/>
        <w:numPr>
          <w:ilvl w:val="0"/>
          <w:numId w:val="3"/>
        </w:numPr>
        <w:spacing w:after="80" w:line="300"/>
      </w:pPr>
      <w:r>
        <w:rPr>
          <w:rFonts w:ascii="Open Sans" w:cs="Open Sans" w:eastAsia="Open Sans" w:hAnsi="Open Sans"/>
          <w:color w:val="333333"/>
          <w:sz w:val="21"/>
          <w:szCs w:val="21"/>
        </w:rPr>
        <w:t xml:space="preserve">JWT-based stateless authentication with 15-minute access token expiry</w:t>
      </w:r>
    </w:p>
    <w:p>
      <w:pPr>
        <w:pStyle w:val="ListParagraph"/>
        <w:numPr>
          <w:ilvl w:val="0"/>
          <w:numId w:val="3"/>
        </w:numPr>
        <w:spacing w:after="80" w:line="300"/>
      </w:pPr>
      <w:r>
        <w:rPr>
          <w:rFonts w:ascii="Open Sans" w:cs="Open Sans" w:eastAsia="Open Sans" w:hAnsi="Open Sans"/>
          <w:color w:val="333333"/>
          <w:sz w:val="21"/>
          <w:szCs w:val="21"/>
        </w:rPr>
        <w:t xml:space="preserve">Refresh token rotation with 7-day maximum lifetime</w:t>
      </w:r>
    </w:p>
    <w:p>
      <w:pPr>
        <w:pStyle w:val="ListParagraph"/>
        <w:numPr>
          <w:ilvl w:val="0"/>
          <w:numId w:val="3"/>
        </w:numPr>
        <w:spacing w:after="80" w:line="300"/>
      </w:pPr>
      <w:r>
        <w:rPr>
          <w:rFonts w:ascii="Open Sans" w:cs="Open Sans" w:eastAsia="Open Sans" w:hAnsi="Open Sans"/>
          <w:color w:val="333333"/>
          <w:sz w:val="21"/>
          <w:szCs w:val="21"/>
        </w:rPr>
        <w:t xml:space="preserve">PBKDF2-SHA256 password hashing with 100,000 iterations and random salt</w:t>
      </w:r>
    </w:p>
    <w:p>
      <w:pPr>
        <w:pStyle w:val="ListParagraph"/>
        <w:numPr>
          <w:ilvl w:val="0"/>
          <w:numId w:val="3"/>
        </w:numPr>
        <w:spacing w:after="80" w:line="300"/>
      </w:pPr>
      <w:r>
        <w:rPr>
          <w:rFonts w:ascii="Open Sans" w:cs="Open Sans" w:eastAsia="Open Sans" w:hAnsi="Open Sans"/>
          <w:color w:val="333333"/>
          <w:sz w:val="21"/>
          <w:szCs w:val="21"/>
        </w:rPr>
        <w:t xml:space="preserve">Multi-factor authentication support (TOTP, SMS, enterprise SSO)</w:t>
      </w:r>
    </w:p>
    <w:p>
      <w:pPr>
        <w:pStyle w:val="ListParagraph"/>
        <w:numPr>
          <w:ilvl w:val="0"/>
          <w:numId w:val="3"/>
        </w:numPr>
        <w:spacing w:after="80" w:line="300"/>
      </w:pPr>
      <w:r>
        <w:rPr>
          <w:rFonts w:ascii="Open Sans" w:cs="Open Sans" w:eastAsia="Open Sans" w:hAnsi="Open Sans"/>
          <w:color w:val="333333"/>
          <w:sz w:val="21"/>
          <w:szCs w:val="21"/>
        </w:rPr>
        <w:t xml:space="preserve">Role-based access control (RBAC) with tenant-scoped permissions</w:t>
      </w:r>
    </w:p>
    <w:p>
      <w:pPr>
        <w:pStyle w:val="ListParagraph"/>
        <w:numPr>
          <w:ilvl w:val="0"/>
          <w:numId w:val="3"/>
        </w:numPr>
        <w:spacing w:after="80" w:line="300"/>
      </w:pPr>
      <w:r>
        <w:rPr>
          <w:rFonts w:ascii="Open Sans" w:cs="Open Sans" w:eastAsia="Open Sans" w:hAnsi="Open Sans"/>
          <w:color w:val="333333"/>
          <w:sz w:val="21"/>
          <w:szCs w:val="21"/>
        </w:rPr>
        <w:t xml:space="preserve">Session management with automatic lockout after 5 failed attempts</w:t>
      </w:r>
    </w:p>
    <w:p>
      <w:pPr>
        <w:pStyle w:val="Heading2"/>
        <w:spacing w:before="280" w:after="160"/>
      </w:pPr>
      <w:r>
        <w:rPr>
          <w:rFonts w:ascii="Montserrat" w:cs="Montserrat" w:eastAsia="Montserrat" w:hAnsi="Montserrat"/>
          <w:b/>
          <w:bCs/>
          <w:color w:val="0D9488"/>
          <w:sz w:val="26"/>
          <w:szCs w:val="26"/>
        </w:rPr>
        <w:t xml:space="preserve">Data Protection</w:t>
      </w:r>
    </w:p>
    <w:p>
      <w:pPr>
        <w:pStyle w:val="ListParagraph"/>
        <w:numPr>
          <w:ilvl w:val="0"/>
          <w:numId w:val="4"/>
        </w:numPr>
        <w:spacing w:after="80" w:line="300"/>
      </w:pPr>
      <w:r>
        <w:rPr>
          <w:rFonts w:ascii="Open Sans" w:cs="Open Sans" w:eastAsia="Open Sans" w:hAnsi="Open Sans"/>
          <w:color w:val="333333"/>
          <w:sz w:val="21"/>
          <w:szCs w:val="21"/>
        </w:rPr>
        <w:t xml:space="preserve">TLS 1.2+ encryption for all data in transit</w:t>
      </w:r>
    </w:p>
    <w:p>
      <w:pPr>
        <w:pStyle w:val="ListParagraph"/>
        <w:numPr>
          <w:ilvl w:val="0"/>
          <w:numId w:val="4"/>
        </w:numPr>
        <w:spacing w:after="80" w:line="300"/>
      </w:pPr>
      <w:r>
        <w:rPr>
          <w:rFonts w:ascii="Open Sans" w:cs="Open Sans" w:eastAsia="Open Sans" w:hAnsi="Open Sans"/>
          <w:color w:val="333333"/>
          <w:sz w:val="21"/>
          <w:szCs w:val="21"/>
        </w:rPr>
        <w:t xml:space="preserve">AES-256 encryption at rest for all stored data</w:t>
      </w:r>
    </w:p>
    <w:p>
      <w:pPr>
        <w:pStyle w:val="ListParagraph"/>
        <w:numPr>
          <w:ilvl w:val="0"/>
          <w:numId w:val="4"/>
        </w:numPr>
        <w:spacing w:after="80" w:line="300"/>
      </w:pPr>
      <w:r>
        <w:rPr>
          <w:rFonts w:ascii="Open Sans" w:cs="Open Sans" w:eastAsia="Open Sans" w:hAnsi="Open Sans"/>
          <w:color w:val="333333"/>
          <w:sz w:val="21"/>
          <w:szCs w:val="21"/>
        </w:rPr>
        <w:t xml:space="preserve">Tenant-level data isolation enforced at database query layer</w:t>
      </w:r>
    </w:p>
    <w:p>
      <w:pPr>
        <w:pStyle w:val="ListParagraph"/>
        <w:numPr>
          <w:ilvl w:val="0"/>
          <w:numId w:val="4"/>
        </w:numPr>
        <w:spacing w:after="80" w:line="300"/>
      </w:pPr>
      <w:r>
        <w:rPr>
          <w:rFonts w:ascii="Open Sans" w:cs="Open Sans" w:eastAsia="Open Sans" w:hAnsi="Open Sans"/>
          <w:color w:val="333333"/>
          <w:sz w:val="21"/>
          <w:szCs w:val="21"/>
        </w:rPr>
        <w:t xml:space="preserve">PHI field-level encryption for sensitive data elements</w:t>
      </w:r>
    </w:p>
    <w:p>
      <w:pPr>
        <w:pStyle w:val="ListParagraph"/>
        <w:numPr>
          <w:ilvl w:val="0"/>
          <w:numId w:val="4"/>
        </w:numPr>
        <w:spacing w:after="80" w:line="300"/>
      </w:pPr>
      <w:r>
        <w:rPr>
          <w:rFonts w:ascii="Open Sans" w:cs="Open Sans" w:eastAsia="Open Sans" w:hAnsi="Open Sans"/>
          <w:color w:val="333333"/>
          <w:sz w:val="21"/>
          <w:szCs w:val="21"/>
        </w:rPr>
        <w:t xml:space="preserve">Comprehensive audit logging for all data access and modifications</w:t>
      </w:r>
    </w:p>
    <w:p>
      <w:pPr>
        <w:pStyle w:val="ListParagraph"/>
        <w:numPr>
          <w:ilvl w:val="0"/>
          <w:numId w:val="4"/>
        </w:numPr>
        <w:spacing w:after="80" w:line="300"/>
      </w:pPr>
      <w:r>
        <w:rPr>
          <w:rFonts w:ascii="Open Sans" w:cs="Open Sans" w:eastAsia="Open Sans" w:hAnsi="Open Sans"/>
          <w:color w:val="333333"/>
          <w:sz w:val="21"/>
          <w:szCs w:val="21"/>
        </w:rPr>
        <w:t xml:space="preserve">Automated daily backups with 90-day retention</w:t>
      </w:r>
    </w:p>
    <w:p>
      <w:pPr>
        <w:pStyle w:val="Heading2"/>
        <w:spacing w:before="280" w:after="160"/>
      </w:pPr>
      <w:r>
        <w:rPr>
          <w:rFonts w:ascii="Montserrat" w:cs="Montserrat" w:eastAsia="Montserrat" w:hAnsi="Montserrat"/>
          <w:b/>
          <w:bCs/>
          <w:color w:val="0D9488"/>
          <w:sz w:val="26"/>
          <w:szCs w:val="26"/>
        </w:rPr>
        <w:t xml:space="preserve">Compliance Controls</w:t>
      </w:r>
    </w:p>
    <w:p>
      <w:pPr>
        <w:spacing w:after="160" w:line="320"/>
      </w:pPr>
      <w:r>
        <w:rPr>
          <w:rFonts w:ascii="Open Sans" w:cs="Open Sans" w:eastAsia="Open Sans" w:hAnsi="Open Sans"/>
          <w:color w:val="333333"/>
          <w:sz w:val="21"/>
          <w:szCs w:val="21"/>
        </w:rPr>
        <w:t xml:space="preserve">The platform architecture implements controls aligned with HIPAA Security Rule requirements, NIST 800-53 security controls, and FedRAMP moderate baseline. Key implemented control families include Access Control (AC), Audit and Accountability (AU), System and Communications Protection (SC), and System and Information Integrity (SI).</w:t>
      </w:r>
    </w:p>
    <w:p>
      <w:pPr>
        <w:pStyle w:val="Heading2"/>
        <w:spacing w:before="280" w:after="160"/>
      </w:pPr>
      <w:r>
        <w:rPr>
          <w:rFonts w:ascii="Montserrat" w:cs="Montserrat" w:eastAsia="Montserrat" w:hAnsi="Montserrat"/>
          <w:b/>
          <w:bCs/>
          <w:color w:val="0D9488"/>
          <w:sz w:val="26"/>
          <w:szCs w:val="26"/>
        </w:rPr>
        <w:t xml:space="preserve">Infrastructure Security</w:t>
      </w:r>
    </w:p>
    <w:p>
      <w:pPr>
        <w:spacing w:after="160" w:line="320"/>
      </w:pPr>
      <w:r>
        <w:rPr>
          <w:rFonts w:ascii="Open Sans" w:cs="Open Sans" w:eastAsia="Open Sans" w:hAnsi="Open Sans"/>
          <w:color w:val="333333"/>
          <w:sz w:val="21"/>
          <w:szCs w:val="21"/>
        </w:rPr>
        <w:t xml:space="preserve">Cloudflare’s edge infrastructure provides enterprise-grade security capabilities including DDoS mitigation rated to handle attacks exceeding 100 Tbps, Web Application Firewall with managed rulesets and custom rules, Bot management and rate limiting to prevent abuse, automatic SSL certificate provisioning and renewal, and network-level isolation between tenant workloads.</w:t>
      </w:r>
    </w:p>
    <w:p>
      <w:r>
        <w:br w:type="page"/>
      </w:r>
    </w:p>
    <w:p>
      <w:pPr>
        <w:pStyle w:val="Heading1"/>
        <w:spacing w:before="360" w:after="200"/>
      </w:pPr>
      <w:r>
        <w:rPr>
          <w:rFonts w:ascii="Montserrat" w:cs="Montserrat" w:eastAsia="Montserrat" w:hAnsi="Montserrat"/>
          <w:b/>
          <w:bCs/>
          <w:color w:val="0F2A4A"/>
          <w:sz w:val="32"/>
          <w:szCs w:val="32"/>
        </w:rPr>
        <w:t xml:space="preserve">Implementation Guide</w:t>
      </w:r>
    </w:p>
    <w:p>
      <w:pPr>
        <w:pStyle w:val="Heading2"/>
        <w:spacing w:before="280" w:after="160"/>
      </w:pPr>
      <w:r>
        <w:rPr>
          <w:rFonts w:ascii="Montserrat" w:cs="Montserrat" w:eastAsia="Montserrat" w:hAnsi="Montserrat"/>
          <w:b/>
          <w:bCs/>
          <w:color w:val="0D9488"/>
          <w:sz w:val="26"/>
          <w:szCs w:val="26"/>
        </w:rPr>
        <w:t xml:space="preserve">Phase 1: Database Setup</w:t>
      </w:r>
    </w:p>
    <w:p>
      <w:pPr>
        <w:spacing w:after="160" w:line="320"/>
      </w:pPr>
      <w:r>
        <w:rPr>
          <w:rFonts w:ascii="Open Sans" w:cs="Open Sans" w:eastAsia="Open Sans" w:hAnsi="Open Sans"/>
          <w:color w:val="333333"/>
          <w:sz w:val="21"/>
          <w:szCs w:val="21"/>
        </w:rPr>
        <w:t xml:space="preserve">Initialize the D1 database with the governance schema using Cloudflare’s web console. Execute the schema creation SQL to establish the core tables, indexes, and foreign key relationships documented in the Data Model section.</w:t>
      </w:r>
    </w:p>
    <w:p>
      <w:pPr>
        <w:pStyle w:val="Heading2"/>
        <w:spacing w:before="280" w:after="160"/>
      </w:pPr>
      <w:r>
        <w:rPr>
          <w:rFonts w:ascii="Montserrat" w:cs="Montserrat" w:eastAsia="Montserrat" w:hAnsi="Montserrat"/>
          <w:b/>
          <w:bCs/>
          <w:color w:val="0D9488"/>
          <w:sz w:val="26"/>
          <w:szCs w:val="26"/>
        </w:rPr>
        <w:t xml:space="preserve">Phase 2: API Worker Deployment</w:t>
      </w:r>
    </w:p>
    <w:p>
      <w:pPr>
        <w:spacing w:after="160" w:line="320"/>
      </w:pPr>
      <w:r>
        <w:rPr>
          <w:rFonts w:ascii="Open Sans" w:cs="Open Sans" w:eastAsia="Open Sans" w:hAnsi="Open Sans"/>
          <w:color w:val="333333"/>
          <w:sz w:val="21"/>
          <w:szCs w:val="21"/>
        </w:rPr>
        <w:t xml:space="preserve">Deploy the Cloudflare Worker containing the API logic through the Workers &amp; Pages dashboard. Configure the D1 database binding, R2 storage binding, KV namespace binding, and JWT secret as environment variables. Verify the health endpoint returns successfully before proceeding.</w:t>
      </w:r>
    </w:p>
    <w:p>
      <w:pPr>
        <w:pStyle w:val="Heading2"/>
        <w:spacing w:before="280" w:after="160"/>
      </w:pPr>
      <w:r>
        <w:rPr>
          <w:rFonts w:ascii="Montserrat" w:cs="Montserrat" w:eastAsia="Montserrat" w:hAnsi="Montserrat"/>
          <w:b/>
          <w:bCs/>
          <w:color w:val="0D9488"/>
          <w:sz w:val="26"/>
          <w:szCs w:val="26"/>
        </w:rPr>
        <w:t xml:space="preserve">Phase 3: Frontend Deployment</w:t>
      </w:r>
    </w:p>
    <w:p>
      <w:pPr>
        <w:spacing w:after="160" w:line="320"/>
      </w:pPr>
      <w:r>
        <w:rPr>
          <w:rFonts w:ascii="Open Sans" w:cs="Open Sans" w:eastAsia="Open Sans" w:hAnsi="Open Sans"/>
          <w:color w:val="333333"/>
          <w:sz w:val="21"/>
          <w:szCs w:val="21"/>
        </w:rPr>
        <w:t xml:space="preserve">Deploy the single-page application to Cloudflare Pages. Configure the API URL environment variable to point to the Worker endpoint. Verify authentication flow, AI asset registration, and risk assessment workflows function correctly.</w:t>
      </w:r>
    </w:p>
    <w:p>
      <w:pPr>
        <w:pStyle w:val="Heading2"/>
        <w:spacing w:before="280" w:after="160"/>
      </w:pPr>
      <w:r>
        <w:rPr>
          <w:rFonts w:ascii="Montserrat" w:cs="Montserrat" w:eastAsia="Montserrat" w:hAnsi="Montserrat"/>
          <w:b/>
          <w:bCs/>
          <w:color w:val="0D9488"/>
          <w:sz w:val="26"/>
          <w:szCs w:val="26"/>
        </w:rPr>
        <w:t xml:space="preserve">Phase 4: Custom Domain &amp; Security</w:t>
      </w:r>
    </w:p>
    <w:p>
      <w:pPr>
        <w:spacing w:after="160" w:line="320"/>
      </w:pPr>
      <w:r>
        <w:rPr>
          <w:rFonts w:ascii="Open Sans" w:cs="Open Sans" w:eastAsia="Open Sans" w:hAnsi="Open Sans"/>
          <w:color w:val="333333"/>
          <w:sz w:val="21"/>
          <w:szCs w:val="21"/>
        </w:rPr>
        <w:t xml:space="preserve">Configure the custom domain, enable Always HTTPS, set SSL mode to Full Strict, enable HSTS with a 12-month max age, set minimum TLS version to 1.2, and configure security headers including Content Security Policy, X-Content-Type-Options, X-Frame-Options, and Referrer Policy.</w:t>
      </w:r>
    </w:p>
    <w:p>
      <w:pPr>
        <w:pStyle w:val="Heading2"/>
        <w:spacing w:before="280" w:after="160"/>
      </w:pPr>
      <w:r>
        <w:rPr>
          <w:rFonts w:ascii="Montserrat" w:cs="Montserrat" w:eastAsia="Montserrat" w:hAnsi="Montserrat"/>
          <w:b/>
          <w:bCs/>
          <w:color w:val="0D9488"/>
          <w:sz w:val="26"/>
          <w:szCs w:val="26"/>
        </w:rPr>
        <w:t xml:space="preserve">Phase 5: Data Population</w:t>
      </w:r>
    </w:p>
    <w:p>
      <w:pPr>
        <w:spacing w:after="160" w:line="320"/>
      </w:pPr>
      <w:r>
        <w:rPr>
          <w:rFonts w:ascii="Open Sans" w:cs="Open Sans" w:eastAsia="Open Sans" w:hAnsi="Open Sans"/>
          <w:color w:val="333333"/>
          <w:sz w:val="21"/>
          <w:szCs w:val="21"/>
        </w:rPr>
        <w:t xml:space="preserve">Import the governance control catalog with cross-framework compliance mappings. This includes NIST AI RMF controls organized by Govern, Map, Measure, and Manage functions, with corresponding references to FDA SaMD guidance, ONC HTI-1 requirements, HIPAA provisions, and applicable state regulations.</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3"/>
              <w:left w:val="none" w:color="FFFFFF" w:sz="0"/>
              <w:bottom w:val="none" w:color="FFFFFF" w:sz="0"/>
              <w:right w:val="none" w:color="FFFFFF" w:sz="0"/>
            </w:tcBorders>
            <w:shd w:fill="F9FAFB" w:val="clear"/>
            <w:tcMar>
              <w:top w:type="dxa" w:w="240"/>
              <w:left w:type="dxa" w:w="240"/>
              <w:bottom w:type="dxa" w:w="240"/>
              <w:right w:type="dxa" w:w="240"/>
            </w:tcMar>
          </w:tcPr>
          <w:p>
            <w:pPr>
              <w:spacing w:after="120"/>
            </w:pPr>
            <w:r>
              <w:rPr>
                <w:rFonts w:ascii="Montserrat" w:cs="Montserrat" w:eastAsia="Montserrat" w:hAnsi="Montserrat"/>
                <w:b/>
                <w:bCs/>
                <w:color w:val="0F2A4A"/>
                <w:spacing w:val="100"/>
                <w:sz w:val="22"/>
                <w:szCs w:val="22"/>
              </w:rPr>
              <w:t xml:space="preserve">FORGE CYBER DEFENSE</w:t>
            </w:r>
          </w:p>
          <w:p>
            <w:pPr>
              <w:spacing w:after="60"/>
            </w:pPr>
            <w:r>
              <w:rPr>
                <w:rFonts w:ascii="Open Sans" w:cs="Open Sans" w:eastAsia="Open Sans" w:hAnsi="Open Sans"/>
                <w:color w:val="0D9488"/>
                <w:sz w:val="20"/>
                <w:szCs w:val="20"/>
              </w:rPr>
              <w:t xml:space="preserve">www.forgecyberdefense.com</w:t>
            </w:r>
          </w:p>
          <w:p>
            <w:r>
              <w:rPr>
                <w:rFonts w:ascii="Open Sans" w:cs="Open Sans" w:eastAsia="Open Sans" w:hAnsi="Open Sans"/>
                <w:color w:val="4B5563"/>
                <w:sz w:val="18"/>
                <w:szCs w:val="18"/>
              </w:rPr>
              <w:t xml:space="preserve">North Texas  |  100% U.S.-Based Operations  |  SDVOSB Certified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Open Sans" w:cs="Open Sans" w:eastAsia="Open Sans" w:hAnsi="Open Sans"/>
        <w:color w:val="9CA3AF"/>
        <w:sz w:val="16"/>
        <w:szCs w:val="16"/>
      </w:rPr>
      <w:t xml:space="preserve">Page </w:t>
    </w:r>
    <w:r>
      <w:rPr>
        <w:rFonts w:ascii="Open Sans" w:cs="Open Sans" w:eastAsia="Open Sans" w:hAnsi="Open Sans"/>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Open Sans" w:cs="Open Sans" w:eastAsia="Open Sans" w:hAnsi="Open Sans"/>
        <w:color w:val="9CA3AF"/>
        <w:sz w:val="16"/>
        <w:szCs w:val="16"/>
      </w:rPr>
      <w:t xml:space="preserve">Forge Cyber Defense  |  AI Governance Platform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Montserrat" w:cs="Montserrat" w:eastAsia="Montserrat" w:hAnsi="Montserrat"/>
      <w:b/>
      <w:bCs/>
      <w:color w:val="0F2A4A"/>
      <w:sz w:val="32"/>
      <w:szCs w:val="32"/>
    </w:rPr>
  </w:style>
  <w:style w:type="paragraph" w:styleId="Heading2">
    <w:name w:val="Heading 2"/>
    <w:basedOn w:val="Normal"/>
    <w:next w:val="Normal"/>
    <w:qFormat/>
    <w:pPr>
      <w:spacing w:before="280" w:after="160"/>
      <w:outlineLvl w:val="1"/>
    </w:pPr>
    <w:rPr>
      <w:rFonts w:ascii="Montserrat" w:cs="Montserrat" w:eastAsia="Montserrat" w:hAnsi="Montserrat"/>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2026-02-12T01:07:25.686Z</dcterms:created>
  <dcterms:modified xsi:type="dcterms:W3CDTF">2026-02-12T01:07:25.686Z</dcterms:modified>
</cp:coreProperties>
</file>

<file path=docProps/custom.xml><?xml version="1.0" encoding="utf-8"?>
<Properties xmlns="http://schemas.openxmlformats.org/officeDocument/2006/custom-properties" xmlns:vt="http://schemas.openxmlformats.org/officeDocument/2006/docPropsVTypes"/>
</file>