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400" w:hRule="exact"/>
        </w:trPr>
        <w:tc>
          <w:tcPr>
            <w:tcW w:type="dxa" w:w="12240"/>
            <w:tcBorders>
              <w:top w:val="none" w:color="FFFFFF" w:sz="0"/>
              <w:left w:val="none" w:color="FFFFFF" w:sz="0"/>
              <w:bottom w:val="none" w:color="FFFFFF" w:sz="0"/>
              <w:right w:val="none" w:color="FFFFFF" w:sz="0"/>
            </w:tcBorders>
            <w:shd w:fill="0F2A4A" w:val="clear"/>
            <w:tcMar>
              <w:top w:type="dxa" w:w="1200"/>
              <w:left w:type="dxa" w:w="1440"/>
              <w:bottom w:type="dxa" w:w="400"/>
              <w:right w:type="dxa" w:w="1440"/>
            </w:tcMar>
            <w:vAlign w:val="center"/>
          </w:tcPr>
          <w:p>
            <w:pPr>
              <w:spacing w:after="200"/>
            </w:pPr>
            <w:r>
              <w:rPr>
                <w:rFonts w:ascii="Montserrat" w:cs="Montserrat" w:eastAsia="Montserrat" w:hAnsi="Montserrat"/>
                <w:b/>
                <w:bCs/>
                <w:color w:val="14B8A6"/>
                <w:spacing w:val="200"/>
                <w:sz w:val="22"/>
                <w:szCs w:val="22"/>
              </w:rPr>
              <w:t xml:space="preserve">FORGE CYBER DEFENSE</w:t>
            </w:r>
          </w:p>
          <w:p>
            <w:pPr>
              <w:spacing w:after="80"/>
            </w:pPr>
            <w:r>
              <w:rPr>
                <w:rFonts w:ascii="Montserrat" w:cs="Montserrat" w:eastAsia="Montserrat" w:hAnsi="Montserrat"/>
                <w:b/>
                <w:bCs/>
                <w:color w:val="FFFFFF"/>
                <w:sz w:val="52"/>
                <w:szCs w:val="52"/>
              </w:rPr>
              <w:t xml:space="preserve">Building Scalable</w:t>
            </w:r>
          </w:p>
          <w:p>
            <w:pPr>
              <w:spacing w:after="80"/>
            </w:pPr>
            <w:r>
              <w:rPr>
                <w:rFonts w:ascii="Montserrat" w:cs="Montserrat" w:eastAsia="Montserrat" w:hAnsi="Montserrat"/>
                <w:b/>
                <w:bCs/>
                <w:color w:val="14B8A6"/>
                <w:sz w:val="52"/>
                <w:szCs w:val="52"/>
              </w:rPr>
              <w:t xml:space="preserve">Artificial Intelligence</w:t>
            </w:r>
          </w:p>
          <w:p>
            <w:pPr>
              <w:spacing w:after="200"/>
            </w:pPr>
            <w:r>
              <w:rPr>
                <w:rFonts w:ascii="Montserrat" w:cs="Montserrat" w:eastAsia="Montserrat" w:hAnsi="Montserrat"/>
                <w:b/>
                <w:bCs/>
                <w:color w:val="FFFFFF"/>
                <w:sz w:val="52"/>
                <w:szCs w:val="52"/>
              </w:rPr>
              <w:t xml:space="preserve">Governance in Healthcare</w:t>
            </w:r>
          </w:p>
          <w:p>
            <w:pPr>
              <w:spacing w:before="100" w:after="100"/>
            </w:pPr>
          </w:p>
          <w:p>
            <w:r>
              <w:rPr>
                <w:rFonts w:ascii="Open Sans" w:cs="Open Sans" w:eastAsia="Open Sans" w:hAnsi="Open Sans"/>
                <w:color w:val="B0C4DE"/>
                <w:sz w:val="22"/>
                <w:szCs w:val="22"/>
              </w:rPr>
              <w:t xml:space="preserve">A Strategic Framework for Responsible AI Adoption,</w:t>
            </w:r>
          </w:p>
          <w:p>
            <w:r>
              <w:rPr>
                <w:rFonts w:ascii="Open Sans" w:cs="Open Sans" w:eastAsia="Open Sans" w:hAnsi="Open Sans"/>
                <w:color w:val="B0C4DE"/>
                <w:sz w:val="22"/>
                <w:szCs w:val="22"/>
              </w:rPr>
              <w:t xml:space="preserve">Regulatory Compliance, and Patient Safety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20" w:hRule="exact"/>
        </w:trPr>
        <w:tc>
          <w:tcPr>
            <w:tcW w:type="dxa" w:w="12240"/>
            <w:tcBorders>
              <w:top w:val="none" w:color="FFFFFF" w:sz="0"/>
              <w:left w:val="none" w:color="FFFFFF" w:sz="0"/>
              <w:bottom w:val="none" w:color="FFFFFF" w:sz="0"/>
              <w:right w:val="none" w:color="FFFFFF" w:sz="0"/>
            </w:tcBorders>
            <w:shd w:fill="0D9488" w:val="clear"/>
          </w:tcP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200" w:hRule="exact"/>
        </w:trPr>
        <w:tc>
          <w:tcPr>
            <w:tcW w:type="dxa" w:w="12240"/>
            <w:tcBorders>
              <w:top w:val="none" w:color="FFFFFF" w:sz="0"/>
              <w:left w:val="none" w:color="FFFFFF" w:sz="0"/>
              <w:bottom w:val="none" w:color="FFFFFF" w:sz="0"/>
              <w:right w:val="none" w:color="FFFFFF" w:sz="0"/>
            </w:tcBorders>
            <w:shd w:fill="F9FAFB" w:val="clear"/>
            <w:tcMar>
              <w:top w:type="dxa" w:w="800"/>
              <w:left w:type="dxa" w:w="1440"/>
              <w:bottom w:type="dxa" w:w="400"/>
              <w:right w:type="dxa" w:w="1440"/>
            </w:tcMar>
          </w:tcPr>
          <w:p>
            <w:pPr>
              <w:spacing w:after="400"/>
            </w:pPr>
            <w:r>
              <w:rPr>
                <w:rFonts w:ascii="Montserrat" w:cs="Montserrat" w:eastAsia="Montserrat" w:hAnsi="Montserrat"/>
                <w:b/>
                <w:bCs/>
                <w:color w:val="0D9488"/>
                <w:spacing w:val="150"/>
                <w:sz w:val="20"/>
                <w:szCs w:val="20"/>
              </w:rPr>
              <w:t xml:space="preserve">WHITE PAPER</w:t>
            </w:r>
          </w:p>
          <w:p>
            <w:pPr>
              <w:spacing w:after="100"/>
            </w:pPr>
            <w:r>
              <w:rPr>
                <w:rFonts w:ascii="Open Sans" w:cs="Open Sans" w:eastAsia="Open Sans" w:hAnsi="Open Sans"/>
                <w:color w:val="4B5563"/>
                <w:sz w:val="20"/>
                <w:szCs w:val="20"/>
              </w:rPr>
              <w:t xml:space="preserve">Published: February 2025</w:t>
            </w:r>
          </w:p>
          <w:p>
            <w:pPr>
              <w:spacing w:after="100"/>
            </w:pPr>
            <w:r>
              <w:rPr>
                <w:rFonts w:ascii="Open Sans" w:cs="Open Sans" w:eastAsia="Open Sans" w:hAnsi="Open Sans"/>
                <w:color w:val="4B5563"/>
                <w:sz w:val="20"/>
                <w:szCs w:val="20"/>
              </w:rPr>
              <w:t xml:space="preserve">Version: 1.0</w:t>
            </w:r>
          </w:p>
          <w:p>
            <w:pPr>
              <w:spacing w:after="400"/>
            </w:pPr>
            <w:r>
              <w:rPr>
                <w:rFonts w:ascii="Open Sans" w:cs="Open Sans" w:eastAsia="Open Sans" w:hAnsi="Open Sans"/>
                <w:color w:val="4B5563"/>
                <w:sz w:val="20"/>
                <w:szCs w:val="20"/>
              </w:rPr>
              <w:t xml:space="preserve">Classification: Public Distribution</w:t>
            </w:r>
          </w:p>
          <w:p>
            <w:pPr>
              <w:spacing w:before="200" w:after="200"/>
            </w:pPr>
          </w:p>
          <w:p>
            <w:pPr>
              <w:spacing w:after="60"/>
            </w:pPr>
            <w:r>
              <w:rPr>
                <w:rFonts w:ascii="Montserrat" w:cs="Montserrat" w:eastAsia="Montserrat" w:hAnsi="Montserrat"/>
                <w:b/>
                <w:bCs/>
                <w:color w:val="0F2A4A"/>
                <w:sz w:val="22"/>
                <w:szCs w:val="22"/>
              </w:rPr>
              <w:t xml:space="preserve">Forge Cyber Defense</w:t>
            </w:r>
          </w:p>
          <w:p>
            <w:pPr>
              <w:spacing w:after="60"/>
            </w:pPr>
            <w:r>
              <w:rPr>
                <w:rFonts w:ascii="Open Sans" w:cs="Open Sans" w:eastAsia="Open Sans" w:hAnsi="Open Sans"/>
                <w:color w:val="4B5563"/>
                <w:sz w:val="18"/>
                <w:szCs w:val="18"/>
              </w:rPr>
              <w:t xml:space="preserve">Service-Disabled Veteran-Owned Small Business (SDVOSB)</w:t>
            </w:r>
          </w:p>
          <w:p>
            <w:r>
              <w:rPr>
                <w:rFonts w:ascii="Open Sans" w:cs="Open Sans" w:eastAsia="Open Sans" w:hAnsi="Open Sans"/>
                <w:color w:val="0D9488"/>
                <w:sz w:val="18"/>
                <w:szCs w:val="18"/>
              </w:rPr>
              <w:t xml:space="preserve">www.forgecyberdefense.com</w:t>
            </w:r>
          </w:p>
        </w:tc>
      </w:tr>
    </w:tbl>
    <w:p>
      <w:pPr>
        <w:sectPr>
          <w:pgSz w:w="12240" w:h="15840" w:orient="portrait"/>
          <w:pgMar w:top="0" w:right="0" w:bottom="0" w:left="0" w:header="708" w:footer="708" w:gutter="0"/>
          <w:pgNumType/>
          <w:docGrid w:linePitch="360"/>
        </w:sectPr>
      </w:pPr>
    </w:p>
    <w:p>
      <w:pPr>
        <w:spacing w:after="400"/>
      </w:pPr>
      <w:r>
        <w:rPr>
          <w:rFonts w:ascii="Montserrat" w:cs="Montserrat" w:eastAsia="Montserrat" w:hAnsi="Montserrat"/>
          <w:b/>
          <w:bCs/>
          <w:color w:val="0F2A4A"/>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Montserrat" w:cs="Montserrat" w:eastAsia="Montserrat" w:hAnsi="Montserrat"/>
          <w:b/>
          <w:bCs/>
          <w:color w:val="0F2A4A"/>
          <w:sz w:val="32"/>
          <w:szCs w:val="32"/>
        </w:rPr>
        <w:t xml:space="preserve">Executive Summary</w:t>
      </w:r>
    </w:p>
    <w:p>
      <w:pPr>
        <w:spacing w:after="160" w:line="320"/>
      </w:pPr>
      <w:r>
        <w:rPr>
          <w:rFonts w:ascii="Open Sans" w:cs="Open Sans" w:eastAsia="Open Sans" w:hAnsi="Open Sans"/>
          <w:color w:val="333333"/>
          <w:sz w:val="21"/>
          <w:szCs w:val="21"/>
        </w:rPr>
        <w:t xml:space="preserve">Artificial intelligence is transforming healthcare at an unprecedented pace. From diagnostic imaging and clinical decision support to predictive analytics and revenue cycle automation, AI-powered tools are reshaping how care is delivered, managed, and measured. The global healthcare AI market is projected to exceed $187 billion by 2030, with adoption accelerating across health systems of every size.</w:t>
      </w:r>
    </w:p>
    <w:p>
      <w:pPr>
        <w:spacing w:after="160" w:line="320"/>
      </w:pPr>
      <w:r>
        <w:rPr>
          <w:rFonts w:ascii="Open Sans" w:cs="Open Sans" w:eastAsia="Open Sans" w:hAnsi="Open Sans"/>
          <w:color w:val="333333"/>
          <w:sz w:val="21"/>
          <w:szCs w:val="21"/>
        </w:rPr>
        <w:t xml:space="preserve">Yet this rapid deployment has dramatically outpaced the development of governance frameworks to manage it. Most healthcare organizations deploying AI today lack formal oversight structures, standardized risk assessment processes, or systematic approaches to monitoring algorithmic performance and bias. The result is an expanding landscape of ungoverned risk — risk to patient safety, data privacy, regulatory compliance, and organizational liability.</w:t>
      </w:r>
    </w:p>
    <w:p>
      <w:pPr>
        <w:spacing w:after="160" w:line="320"/>
      </w:pPr>
      <w:r>
        <w:rPr>
          <w:rFonts w:ascii="Open Sans" w:cs="Open Sans" w:eastAsia="Open Sans" w:hAnsi="Open Sans"/>
          <w:color w:val="333333"/>
          <w:sz w:val="21"/>
          <w:szCs w:val="21"/>
        </w:rPr>
        <w:t xml:space="preserve">Regulators are responding. The FDA is evolving its framework for AI/ML-based Software as a Medical Device (SaMD). The ONC’s HTI-1 Final Rule introduces transparency requirements for AI used in certified health IT. NIST has published the AI Risk Management Framework (AI RMF 1.0) and its healthcare-specific companion guidance. State legislatures from Colorado to California are enacting AI-specific legislation that creates new compliance obligations. And accreditation bodies including the Joint Commission are beginning to incorporate AI governance expectations into their standards.</w:t>
      </w:r>
    </w:p>
    <w:p>
      <w:pPr>
        <w:spacing w:after="160" w:line="320"/>
      </w:pPr>
      <w:r>
        <w:rPr>
          <w:rFonts w:ascii="Open Sans" w:cs="Open Sans" w:eastAsia="Open Sans" w:hAnsi="Open Sans"/>
          <w:color w:val="333333"/>
          <w:sz w:val="21"/>
          <w:szCs w:val="21"/>
        </w:rPr>
        <w:t xml:space="preserve">This white paper provides healthcare leaders — CISOs, Chief Medical Information Officers, Compliance Officers, and the emerging Chief AI Officer role — with a strategic framework for building scalable AI governance programs that meet current regulatory requirements while positioning organizations for the regulatory landscape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160"/>
              <w:left w:type="dxa" w:w="240"/>
              <w:bottom w:type="dxa" w:w="160"/>
              <w:right w:type="dxa" w:w="240"/>
            </w:tcMar>
          </w:tcPr>
          <w:p>
            <w:pPr>
              <w:spacing w:after="80"/>
            </w:pPr>
            <w:r>
              <w:rPr>
                <w:rFonts w:ascii="Montserrat" w:cs="Montserrat" w:eastAsia="Montserrat" w:hAnsi="Montserrat"/>
                <w:b/>
                <w:bCs/>
                <w:color w:val="0D9488"/>
                <w:sz w:val="20"/>
                <w:szCs w:val="20"/>
              </w:rPr>
              <w:t xml:space="preserve">Key Insight</w:t>
            </w:r>
          </w:p>
          <w:p>
            <w:pPr>
              <w:spacing w:after="0" w:line="300"/>
            </w:pPr>
            <w:r>
              <w:rPr>
                <w:rFonts w:ascii="Open Sans" w:cs="Open Sans" w:eastAsia="Open Sans" w:hAnsi="Open Sans"/>
                <w:color w:val="4B5563"/>
                <w:sz w:val="20"/>
                <w:szCs w:val="20"/>
              </w:rPr>
              <w:t xml:space="preserve">Organizations that invest in structured AI governance now will gain significant competitive advantages: faster regulatory approvals for AI-enabled capabilities, reduced liability exposure, stronger vendor negotiating positions, and greater clinician and patient trust.</w:t>
            </w:r>
          </w:p>
        </w:tc>
      </w:tr>
    </w:tbl>
    <w:p>
      <w:r>
        <w:br w:type="page"/>
      </w:r>
    </w:p>
    <w:p>
      <w:pPr>
        <w:pStyle w:val="Heading1"/>
        <w:spacing w:before="360" w:after="200"/>
      </w:pPr>
      <w:r>
        <w:rPr>
          <w:rFonts w:ascii="Montserrat" w:cs="Montserrat" w:eastAsia="Montserrat" w:hAnsi="Montserrat"/>
          <w:b/>
          <w:bCs/>
          <w:color w:val="0F2A4A"/>
          <w:sz w:val="32"/>
          <w:szCs w:val="32"/>
        </w:rPr>
        <w:t xml:space="preserve">The Healthcare AI Landscape</w:t>
      </w:r>
    </w:p>
    <w:p>
      <w:pPr>
        <w:pStyle w:val="Heading2"/>
        <w:spacing w:before="280" w:after="160"/>
      </w:pPr>
      <w:r>
        <w:rPr>
          <w:rFonts w:ascii="Montserrat" w:cs="Montserrat" w:eastAsia="Montserrat" w:hAnsi="Montserrat"/>
          <w:b/>
          <w:bCs/>
          <w:color w:val="0D9488"/>
          <w:sz w:val="26"/>
          <w:szCs w:val="26"/>
        </w:rPr>
        <w:t xml:space="preserve">Current State of AI Adoption</w:t>
      </w:r>
    </w:p>
    <w:p>
      <w:pPr>
        <w:spacing w:after="160" w:line="320"/>
      </w:pPr>
      <w:r>
        <w:rPr>
          <w:rFonts w:ascii="Open Sans" w:cs="Open Sans" w:eastAsia="Open Sans" w:hAnsi="Open Sans"/>
          <w:color w:val="333333"/>
          <w:sz w:val="21"/>
          <w:szCs w:val="21"/>
        </w:rPr>
        <w:t xml:space="preserve">Healthcare AI deployment has moved well beyond the pilot phase. Major health systems are now operating dozens — in some cases hundreds — of AI/ML tools across clinical, operational, and administrative functions. These tools range from FDA-cleared diagnostic algorithms to internally developed predictive models to embedded vendor AI features that may not even be identified as AI by the teams using them.</w:t>
      </w:r>
    </w:p>
    <w:p>
      <w:pPr>
        <w:spacing w:after="160" w:line="320"/>
      </w:pPr>
      <w:r>
        <w:rPr>
          <w:rFonts w:ascii="Open Sans" w:cs="Open Sans" w:eastAsia="Open Sans" w:hAnsi="Open Sans"/>
          <w:color w:val="333333"/>
          <w:sz w:val="21"/>
          <w:szCs w:val="21"/>
        </w:rPr>
        <w:t xml:space="preserve">The categories of healthcare AI now in widespread deployment include clinical decision support systems that alert providers to deteriorating patient conditions, diagnostic imaging algorithms that detect cancers and other pathologies, natural language processing tools that extract structured data from clinical notes, predictive models that forecast readmission risk and disease progression, operational AI that optimizes staffing and scheduling, and revenue cycle automation that handles coding and claims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2A4A" w:val="clear"/>
            <w:tcMar>
              <w:top w:type="dxa" w:w="200"/>
              <w:left w:type="dxa" w:w="160"/>
              <w:bottom w:type="dxa" w:w="200"/>
              <w:right w:type="dxa" w:w="160"/>
            </w:tcMar>
          </w:tcPr>
          <w:p>
            <w:pPr>
              <w:spacing w:after="60"/>
              <w:jc w:val="center"/>
            </w:pPr>
            <w:r>
              <w:rPr>
                <w:rFonts w:ascii="Montserrat" w:cs="Montserrat" w:eastAsia="Montserrat" w:hAnsi="Montserrat"/>
                <w:b/>
                <w:bCs/>
                <w:color w:val="14B8A6"/>
                <w:sz w:val="40"/>
                <w:szCs w:val="40"/>
              </w:rPr>
              <w:t xml:space="preserve">$187B+</w:t>
            </w:r>
          </w:p>
          <w:p>
            <w:pPr>
              <w:jc w:val="center"/>
            </w:pPr>
            <w:r>
              <w:rPr>
                <w:rFonts w:ascii="Open Sans" w:cs="Open Sans" w:eastAsia="Open Sans" w:hAnsi="Open Sans"/>
                <w:color w:val="FFFFFF"/>
                <w:sz w:val="18"/>
                <w:szCs w:val="18"/>
              </w:rPr>
              <w:t xml:space="preserve">Healthcare AI Market by 2030</w:t>
            </w:r>
          </w:p>
        </w:tc>
        <w:tc>
          <w:tcPr>
            <w:tcW w:type="dxa" w:w="3120"/>
            <w:tcBorders>
              <w:top w:val="none" w:color="FFFFFF" w:sz="0"/>
              <w:left w:val="none" w:color="FFFFFF" w:sz="0"/>
              <w:bottom w:val="none" w:color="FFFFFF" w:sz="0"/>
              <w:right w:val="none" w:color="FFFFFF" w:sz="0"/>
            </w:tcBorders>
            <w:shd w:fill="0F2A4A" w:val="clear"/>
            <w:tcMar>
              <w:top w:type="dxa" w:w="200"/>
              <w:left w:type="dxa" w:w="160"/>
              <w:bottom w:type="dxa" w:w="200"/>
              <w:right w:type="dxa" w:w="160"/>
            </w:tcMar>
          </w:tcPr>
          <w:p>
            <w:pPr>
              <w:spacing w:after="60"/>
              <w:jc w:val="center"/>
            </w:pPr>
            <w:r>
              <w:rPr>
                <w:rFonts w:ascii="Montserrat" w:cs="Montserrat" w:eastAsia="Montserrat" w:hAnsi="Montserrat"/>
                <w:b/>
                <w:bCs/>
                <w:color w:val="14B8A6"/>
                <w:sz w:val="40"/>
                <w:szCs w:val="40"/>
              </w:rPr>
              <w:t xml:space="preserve">67%</w:t>
            </w:r>
          </w:p>
          <w:p>
            <w:pPr>
              <w:jc w:val="center"/>
            </w:pPr>
            <w:r>
              <w:rPr>
                <w:rFonts w:ascii="Open Sans" w:cs="Open Sans" w:eastAsia="Open Sans" w:hAnsi="Open Sans"/>
                <w:color w:val="FFFFFF"/>
                <w:sz w:val="18"/>
                <w:szCs w:val="18"/>
              </w:rPr>
              <w:t xml:space="preserve">Health Systems Using AI Today</w:t>
            </w:r>
          </w:p>
        </w:tc>
        <w:tc>
          <w:tcPr>
            <w:tcW w:type="dxa" w:w="3120"/>
            <w:tcBorders>
              <w:top w:val="none" w:color="FFFFFF" w:sz="0"/>
              <w:left w:val="none" w:color="FFFFFF" w:sz="0"/>
              <w:bottom w:val="none" w:color="FFFFFF" w:sz="0"/>
              <w:right w:val="none" w:color="FFFFFF" w:sz="0"/>
            </w:tcBorders>
            <w:shd w:fill="0F2A4A" w:val="clear"/>
            <w:tcMar>
              <w:top w:type="dxa" w:w="200"/>
              <w:left w:type="dxa" w:w="160"/>
              <w:bottom w:type="dxa" w:w="200"/>
              <w:right w:type="dxa" w:w="160"/>
            </w:tcMar>
          </w:tcPr>
          <w:p>
            <w:pPr>
              <w:spacing w:after="60"/>
              <w:jc w:val="center"/>
            </w:pPr>
            <w:r>
              <w:rPr>
                <w:rFonts w:ascii="Montserrat" w:cs="Montserrat" w:eastAsia="Montserrat" w:hAnsi="Montserrat"/>
                <w:b/>
                <w:bCs/>
                <w:color w:val="14B8A6"/>
                <w:sz w:val="40"/>
                <w:szCs w:val="40"/>
              </w:rPr>
              <w:t xml:space="preserve">45+</w:t>
            </w:r>
          </w:p>
          <w:p>
            <w:pPr>
              <w:jc w:val="center"/>
            </w:pPr>
            <w:r>
              <w:rPr>
                <w:rFonts w:ascii="Open Sans" w:cs="Open Sans" w:eastAsia="Open Sans" w:hAnsi="Open Sans"/>
                <w:color w:val="FFFFFF"/>
                <w:sz w:val="18"/>
                <w:szCs w:val="18"/>
              </w:rPr>
              <w:t xml:space="preserve">FDA-Cleared AI Algorithms</w:t>
            </w:r>
          </w:p>
        </w:tc>
      </w:tr>
    </w:tbl>
    <w:p>
      <w:pPr>
        <w:spacing w:before="200" w:after="200"/>
      </w:pPr>
    </w:p>
    <w:p>
      <w:pPr>
        <w:pStyle w:val="Heading2"/>
        <w:spacing w:before="280" w:after="160"/>
      </w:pPr>
      <w:r>
        <w:rPr>
          <w:rFonts w:ascii="Montserrat" w:cs="Montserrat" w:eastAsia="Montserrat" w:hAnsi="Montserrat"/>
          <w:b/>
          <w:bCs/>
          <w:color w:val="0D9488"/>
          <w:sz w:val="26"/>
          <w:szCs w:val="26"/>
        </w:rPr>
        <w:t xml:space="preserve">The Governance Gap</w:t>
      </w:r>
    </w:p>
    <w:p>
      <w:pPr>
        <w:spacing w:after="160" w:line="320"/>
      </w:pPr>
      <w:r>
        <w:rPr>
          <w:rFonts w:ascii="Open Sans" w:cs="Open Sans" w:eastAsia="Open Sans" w:hAnsi="Open Sans"/>
          <w:color w:val="333333"/>
          <w:sz w:val="21"/>
          <w:szCs w:val="21"/>
        </w:rPr>
        <w:t xml:space="preserve">Despite this widespread adoption, governance has not kept pace. Research consistently shows that fewer than 20% of healthcare organizations have established formal AI governance committees. Most lack standardized processes for evaluating AI tools before deployment, monitoring their performance after go-live, or assessing their impact on different patient populations.</w:t>
      </w:r>
    </w:p>
    <w:p>
      <w:pPr>
        <w:spacing w:after="160" w:line="320"/>
      </w:pPr>
      <w:r>
        <w:rPr>
          <w:rFonts w:ascii="Open Sans" w:cs="Open Sans" w:eastAsia="Open Sans" w:hAnsi="Open Sans"/>
          <w:color w:val="333333"/>
          <w:sz w:val="21"/>
          <w:szCs w:val="21"/>
        </w:rPr>
        <w:t xml:space="preserve">This governance gap creates four categories of risk that demand immediate attention.</w:t>
      </w:r>
    </w:p>
    <w:p>
      <w:pPr>
        <w:spacing w:before="200" w:after="120"/>
      </w:pPr>
      <w:r>
        <w:rPr>
          <w:rFonts w:ascii="Montserrat" w:cs="Montserrat" w:eastAsia="Montserrat" w:hAnsi="Montserrat"/>
          <w:b/>
          <w:bCs/>
          <w:color w:val="0F2A4A"/>
          <w:sz w:val="22"/>
          <w:szCs w:val="22"/>
        </w:rPr>
        <w:t xml:space="preserve">Patient Safety Risk</w:t>
      </w:r>
    </w:p>
    <w:p>
      <w:pPr>
        <w:spacing w:after="160" w:line="320"/>
      </w:pPr>
      <w:r>
        <w:rPr>
          <w:rFonts w:ascii="Open Sans" w:cs="Open Sans" w:eastAsia="Open Sans" w:hAnsi="Open Sans"/>
          <w:color w:val="333333"/>
          <w:sz w:val="21"/>
          <w:szCs w:val="21"/>
        </w:rPr>
        <w:t xml:space="preserve">AI tools that influence clinical decisions carry inherent patient safety implications. Algorithms trained on biased or unrepresentative data can produce recommendations that systematically disadvantage certain patient populations. Without structured validation and ongoing monitoring, these biases may go undetected until they cause measurable harm.</w:t>
      </w:r>
    </w:p>
    <w:p>
      <w:pPr>
        <w:spacing w:before="200" w:after="120"/>
      </w:pPr>
      <w:r>
        <w:rPr>
          <w:rFonts w:ascii="Montserrat" w:cs="Montserrat" w:eastAsia="Montserrat" w:hAnsi="Montserrat"/>
          <w:b/>
          <w:bCs/>
          <w:color w:val="0F2A4A"/>
          <w:sz w:val="22"/>
          <w:szCs w:val="22"/>
        </w:rPr>
        <w:t xml:space="preserve">Regulatory and Legal Risk</w:t>
      </w:r>
    </w:p>
    <w:p>
      <w:pPr>
        <w:spacing w:after="160" w:line="320"/>
      </w:pPr>
      <w:r>
        <w:rPr>
          <w:rFonts w:ascii="Open Sans" w:cs="Open Sans" w:eastAsia="Open Sans" w:hAnsi="Open Sans"/>
          <w:color w:val="333333"/>
          <w:sz w:val="21"/>
          <w:szCs w:val="21"/>
        </w:rPr>
        <w:t xml:space="preserve">The regulatory landscape for healthcare AI is evolving rapidly and in multiple directions simultaneously. Organizations operating without governance frameworks face increasing exposure to enforcement actions, penalties, and litigation as regulators codify AI-specific requirements.</w:t>
      </w:r>
    </w:p>
    <w:p>
      <w:pPr>
        <w:spacing w:before="200" w:after="120"/>
      </w:pPr>
      <w:r>
        <w:rPr>
          <w:rFonts w:ascii="Montserrat" w:cs="Montserrat" w:eastAsia="Montserrat" w:hAnsi="Montserrat"/>
          <w:b/>
          <w:bCs/>
          <w:color w:val="0F2A4A"/>
          <w:sz w:val="22"/>
          <w:szCs w:val="22"/>
        </w:rPr>
        <w:t xml:space="preserve">Operational Risk</w:t>
      </w:r>
    </w:p>
    <w:p>
      <w:pPr>
        <w:spacing w:after="160" w:line="320"/>
      </w:pPr>
      <w:r>
        <w:rPr>
          <w:rFonts w:ascii="Open Sans" w:cs="Open Sans" w:eastAsia="Open Sans" w:hAnsi="Open Sans"/>
          <w:color w:val="333333"/>
          <w:sz w:val="21"/>
          <w:szCs w:val="21"/>
        </w:rPr>
        <w:t xml:space="preserve">AI models degrade over time as the data they encounter shifts from their training distributions. Without systematic monitoring for model drift and performance degradation, organizations risk making decisions based on tools whose accuracy has silently deteriorated.</w:t>
      </w:r>
    </w:p>
    <w:p>
      <w:pPr>
        <w:spacing w:before="200" w:after="120"/>
      </w:pPr>
      <w:r>
        <w:rPr>
          <w:rFonts w:ascii="Montserrat" w:cs="Montserrat" w:eastAsia="Montserrat" w:hAnsi="Montserrat"/>
          <w:b/>
          <w:bCs/>
          <w:color w:val="0F2A4A"/>
          <w:sz w:val="22"/>
          <w:szCs w:val="22"/>
        </w:rPr>
        <w:t xml:space="preserve">Reputational Risk</w:t>
      </w:r>
    </w:p>
    <w:p>
      <w:pPr>
        <w:spacing w:after="160" w:line="320"/>
      </w:pPr>
      <w:r>
        <w:rPr>
          <w:rFonts w:ascii="Open Sans" w:cs="Open Sans" w:eastAsia="Open Sans" w:hAnsi="Open Sans"/>
          <w:color w:val="333333"/>
          <w:sz w:val="21"/>
          <w:szCs w:val="21"/>
        </w:rPr>
        <w:t xml:space="preserve">Public awareness of AI bias and safety concerns is growing. Healthcare organizations that experience high-profile AI failures without demonstrating robust governance practices face significant reputational consequences.</w:t>
      </w:r>
    </w:p>
    <w:p>
      <w:r>
        <w:br w:type="page"/>
      </w:r>
    </w:p>
    <w:p>
      <w:pPr>
        <w:pStyle w:val="Heading1"/>
        <w:spacing w:before="360" w:after="200"/>
      </w:pPr>
      <w:r>
        <w:rPr>
          <w:rFonts w:ascii="Montserrat" w:cs="Montserrat" w:eastAsia="Montserrat" w:hAnsi="Montserrat"/>
          <w:b/>
          <w:bCs/>
          <w:color w:val="0F2A4A"/>
          <w:sz w:val="32"/>
          <w:szCs w:val="32"/>
        </w:rPr>
        <w:t xml:space="preserve">The Evolving Regulatory Framework</w:t>
      </w:r>
    </w:p>
    <w:p>
      <w:pPr>
        <w:spacing w:after="160" w:line="320"/>
      </w:pPr>
      <w:r>
        <w:rPr>
          <w:rFonts w:ascii="Open Sans" w:cs="Open Sans" w:eastAsia="Open Sans" w:hAnsi="Open Sans"/>
          <w:color w:val="333333"/>
          <w:sz w:val="21"/>
          <w:szCs w:val="21"/>
        </w:rPr>
        <w:t xml:space="preserve">Healthcare organizations must navigate an increasingly complex web of AI-specific regulations, standards, and guidance. Understanding this landscape is essential for building governance programs that satisfy current requirements while remaining adaptable as new regulations emerge.</w:t>
      </w:r>
    </w:p>
    <w:p>
      <w:pPr>
        <w:pStyle w:val="Heading2"/>
        <w:spacing w:before="280" w:after="160"/>
      </w:pPr>
      <w:r>
        <w:rPr>
          <w:rFonts w:ascii="Montserrat" w:cs="Montserrat" w:eastAsia="Montserrat" w:hAnsi="Montserrat"/>
          <w:b/>
          <w:bCs/>
          <w:color w:val="0D9488"/>
          <w:sz w:val="26"/>
          <w:szCs w:val="26"/>
        </w:rPr>
        <w:t xml:space="preserve">Federal Regulatory Requirements</w:t>
      </w:r>
    </w:p>
    <w:p>
      <w:pPr>
        <w:spacing w:before="200" w:after="120"/>
      </w:pPr>
      <w:r>
        <w:rPr>
          <w:rFonts w:ascii="Montserrat" w:cs="Montserrat" w:eastAsia="Montserrat" w:hAnsi="Montserrat"/>
          <w:b/>
          <w:bCs/>
          <w:color w:val="0F2A4A"/>
          <w:sz w:val="22"/>
          <w:szCs w:val="22"/>
        </w:rPr>
        <w:t xml:space="preserve">NIST AI Risk Management Framework (AI RMF 1.0)</w:t>
      </w:r>
    </w:p>
    <w:p>
      <w:pPr>
        <w:spacing w:after="160" w:line="320"/>
      </w:pPr>
      <w:r>
        <w:rPr>
          <w:rFonts w:ascii="Open Sans" w:cs="Open Sans" w:eastAsia="Open Sans" w:hAnsi="Open Sans"/>
          <w:color w:val="333333"/>
          <w:sz w:val="21"/>
          <w:szCs w:val="21"/>
        </w:rPr>
        <w:t xml:space="preserve">The National Institute of Standards and Technology published the AI RMF in January 2023, with healthcare-specific companion guidance (NIST AI 600-1) following in 2024. The framework organizes AI risk management into four core functions: Govern, Map, Measure, and Manage. This structure deliberately mirrors the approach taken in NIST’s cybersecurity frameworks, making it a natural extension for organizations already operating under NIST 800-53 or the Cybersecurity Framework.</w:t>
      </w:r>
    </w:p>
    <w:p>
      <w:pPr>
        <w:spacing w:before="200" w:after="120"/>
      </w:pPr>
      <w:r>
        <w:rPr>
          <w:rFonts w:ascii="Montserrat" w:cs="Montserrat" w:eastAsia="Montserrat" w:hAnsi="Montserrat"/>
          <w:b/>
          <w:bCs/>
          <w:color w:val="0F2A4A"/>
          <w:sz w:val="22"/>
          <w:szCs w:val="22"/>
        </w:rPr>
        <w:t xml:space="preserve">FDA Framework for AI/ML-Based SaMD</w:t>
      </w:r>
    </w:p>
    <w:p>
      <w:pPr>
        <w:spacing w:after="160" w:line="320"/>
      </w:pPr>
      <w:r>
        <w:rPr>
          <w:rFonts w:ascii="Open Sans" w:cs="Open Sans" w:eastAsia="Open Sans" w:hAnsi="Open Sans"/>
          <w:color w:val="333333"/>
          <w:sz w:val="21"/>
          <w:szCs w:val="21"/>
        </w:rPr>
        <w:t xml:space="preserve">The FDA has been progressively refining its regulatory approach to AI-enabled medical devices. The agency’s current framework distinguishes between locked algorithms (which do not change after market authorization) and adaptive algorithms (which learn and change over time). For adaptive algorithms, the FDA has proposed a Predetermined Change Control Plan approach that requires manufacturers to describe anticipated modifications and validation procedures upfront.</w:t>
      </w:r>
    </w:p>
    <w:p>
      <w:pPr>
        <w:spacing w:before="200" w:after="120"/>
      </w:pPr>
      <w:r>
        <w:rPr>
          <w:rFonts w:ascii="Montserrat" w:cs="Montserrat" w:eastAsia="Montserrat" w:hAnsi="Montserrat"/>
          <w:b/>
          <w:bCs/>
          <w:color w:val="0F2A4A"/>
          <w:sz w:val="22"/>
          <w:szCs w:val="22"/>
        </w:rPr>
        <w:t xml:space="preserve">ONC Health IT Certification (HTI-1)</w:t>
      </w:r>
    </w:p>
    <w:p>
      <w:pPr>
        <w:spacing w:after="160" w:line="320"/>
      </w:pPr>
      <w:r>
        <w:rPr>
          <w:rFonts w:ascii="Open Sans" w:cs="Open Sans" w:eastAsia="Open Sans" w:hAnsi="Open Sans"/>
          <w:color w:val="333333"/>
          <w:sz w:val="21"/>
          <w:szCs w:val="21"/>
        </w:rPr>
        <w:t xml:space="preserve">The ONC’s HTI-1 Final Rule, effective since 2024, establishes transparency requirements for AI and predictive algorithms used in certified health IT. Health IT developers must provide information about the AI’s intended use, training data characteristics, performance metrics, and known limitations. This rule creates downstream obligations for healthcare organizations to ensure they are obtaining and reviewing this information from their vendors.</w:t>
      </w:r>
    </w:p>
    <w:p>
      <w:pPr>
        <w:spacing w:before="200" w:after="120"/>
      </w:pPr>
      <w:r>
        <w:rPr>
          <w:rFonts w:ascii="Montserrat" w:cs="Montserrat" w:eastAsia="Montserrat" w:hAnsi="Montserrat"/>
          <w:b/>
          <w:bCs/>
          <w:color w:val="0F2A4A"/>
          <w:sz w:val="22"/>
          <w:szCs w:val="22"/>
        </w:rPr>
        <w:t xml:space="preserve">HIPAA and AI</w:t>
      </w:r>
    </w:p>
    <w:p>
      <w:pPr>
        <w:spacing w:after="160" w:line="320"/>
      </w:pPr>
      <w:r>
        <w:rPr>
          <w:rFonts w:ascii="Open Sans" w:cs="Open Sans" w:eastAsia="Open Sans" w:hAnsi="Open Sans"/>
          <w:color w:val="333333"/>
          <w:sz w:val="21"/>
          <w:szCs w:val="21"/>
        </w:rPr>
        <w:t xml:space="preserve">While HIPAA does not contain AI-specific provisions, its Privacy and Security Rules apply directly to AI systems that process protected health information (PHI). AI governance programs must address how AI systems access, use, and store PHI, and must ensure that AI-related data flows are captured in risk assessments and business associate agreements.</w:t>
      </w:r>
    </w:p>
    <w:p>
      <w:pPr>
        <w:pStyle w:val="Heading2"/>
        <w:spacing w:before="280" w:after="160"/>
      </w:pPr>
      <w:r>
        <w:rPr>
          <w:rFonts w:ascii="Montserrat" w:cs="Montserrat" w:eastAsia="Montserrat" w:hAnsi="Montserrat"/>
          <w:b/>
          <w:bCs/>
          <w:color w:val="0D9488"/>
          <w:sz w:val="26"/>
          <w:szCs w:val="26"/>
        </w:rPr>
        <w:t xml:space="preserve">State-Level AI Legislation</w:t>
      </w:r>
    </w:p>
    <w:p>
      <w:pPr>
        <w:spacing w:after="160" w:line="320"/>
      </w:pPr>
      <w:r>
        <w:rPr>
          <w:rFonts w:ascii="Open Sans" w:cs="Open Sans" w:eastAsia="Open Sans" w:hAnsi="Open Sans"/>
          <w:color w:val="333333"/>
          <w:sz w:val="21"/>
          <w:szCs w:val="21"/>
        </w:rPr>
        <w:t xml:space="preserve">States are moving aggressively to regulate AI, creating a patchwork of requirements that multi-state health systems must navigate: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State</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Legislation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Key Requirements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Colorado</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SB 21-169 / AI Act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Algorithmic impact assessments, bias testing, consumer notification for high-risk AI decisions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California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Multiple Bills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Transparency requirements, automated decision-making disclosures, AI safety standards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Illinois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AI Video Interview Act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Consent and transparency requirements for AI in employment decisions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Connecticut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SB 1103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Inventory requirements and impact assessments for state agency AI use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New York City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Local Law 144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Bias audits for automated employment decision tools</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160"/>
              <w:left w:type="dxa" w:w="240"/>
              <w:bottom w:type="dxa" w:w="160"/>
              <w:right w:type="dxa" w:w="240"/>
            </w:tcMar>
          </w:tcPr>
          <w:p>
            <w:pPr>
              <w:spacing w:after="80"/>
            </w:pPr>
            <w:r>
              <w:rPr>
                <w:rFonts w:ascii="Montserrat" w:cs="Montserrat" w:eastAsia="Montserrat" w:hAnsi="Montserrat"/>
                <w:b/>
                <w:bCs/>
                <w:color w:val="0D9488"/>
                <w:sz w:val="20"/>
                <w:szCs w:val="20"/>
              </w:rPr>
              <w:t xml:space="preserve">Regulatory Trend</w:t>
            </w:r>
          </w:p>
          <w:p>
            <w:pPr>
              <w:spacing w:after="0" w:line="300"/>
            </w:pPr>
            <w:r>
              <w:rPr>
                <w:rFonts w:ascii="Open Sans" w:cs="Open Sans" w:eastAsia="Open Sans" w:hAnsi="Open Sans"/>
                <w:color w:val="4B5563"/>
                <w:sz w:val="20"/>
                <w:szCs w:val="20"/>
              </w:rPr>
              <w:t xml:space="preserve">The trajectory is clear: regulation is moving from voluntary frameworks to mandatory requirements. Organizations that wait for specific mandates before building governance programs will face significantly higher implementation costs and compliance risk.</w:t>
            </w:r>
          </w:p>
        </w:tc>
      </w:tr>
    </w:tbl>
    <w:p>
      <w:r>
        <w:br w:type="page"/>
      </w:r>
    </w:p>
    <w:p>
      <w:pPr>
        <w:pStyle w:val="Heading1"/>
        <w:spacing w:before="360" w:after="200"/>
      </w:pPr>
      <w:r>
        <w:rPr>
          <w:rFonts w:ascii="Montserrat" w:cs="Montserrat" w:eastAsia="Montserrat" w:hAnsi="Montserrat"/>
          <w:b/>
          <w:bCs/>
          <w:color w:val="0F2A4A"/>
          <w:sz w:val="32"/>
          <w:szCs w:val="32"/>
        </w:rPr>
        <w:t xml:space="preserve">Core Components of Scalable AI Governance</w:t>
      </w:r>
    </w:p>
    <w:p>
      <w:pPr>
        <w:spacing w:after="160" w:line="320"/>
      </w:pPr>
      <w:r>
        <w:rPr>
          <w:rFonts w:ascii="Open Sans" w:cs="Open Sans" w:eastAsia="Open Sans" w:hAnsi="Open Sans"/>
          <w:color w:val="333333"/>
          <w:sz w:val="21"/>
          <w:szCs w:val="21"/>
        </w:rPr>
        <w:t xml:space="preserve">Effective healthcare AI governance requires a systematic approach that addresses the full lifecycle of AI systems — from acquisition or development through deployment, monitoring, and eventual decommissioning. The following components form the foundation of a scalable governance program.</w:t>
      </w:r>
    </w:p>
    <w:p>
      <w:pPr>
        <w:pStyle w:val="Heading2"/>
        <w:spacing w:before="280" w:after="160"/>
      </w:pPr>
      <w:r>
        <w:rPr>
          <w:rFonts w:ascii="Montserrat" w:cs="Montserrat" w:eastAsia="Montserrat" w:hAnsi="Montserrat"/>
          <w:b/>
          <w:bCs/>
          <w:color w:val="0D9488"/>
          <w:sz w:val="26"/>
          <w:szCs w:val="26"/>
        </w:rPr>
        <w:t xml:space="preserve">1. AI Inventory and Classification</w:t>
      </w:r>
    </w:p>
    <w:p>
      <w:pPr>
        <w:spacing w:after="160" w:line="320"/>
      </w:pPr>
      <w:r>
        <w:rPr>
          <w:rFonts w:ascii="Open Sans" w:cs="Open Sans" w:eastAsia="Open Sans" w:hAnsi="Open Sans"/>
          <w:color w:val="333333"/>
          <w:sz w:val="21"/>
          <w:szCs w:val="21"/>
        </w:rPr>
        <w:t xml:space="preserve">The first and most fundamental requirement is knowing what AI you have. Organizations need a comprehensive, living registry of every AI and ML system in use across the enterprise. This inventory must capture the system name and vendor, the clinical or business function it supports, the data sources it consumes and outputs it produces, the risk tier based on impact to patient care and operations, the responsible owner and clinical champion, and the regulatory classification (FDA-cleared, laboratory-developed, operational, etc.).</w:t>
      </w:r>
    </w:p>
    <w:p>
      <w:pPr>
        <w:spacing w:after="160" w:line="320"/>
      </w:pPr>
      <w:r>
        <w:rPr>
          <w:rFonts w:ascii="Open Sans" w:cs="Open Sans" w:eastAsia="Open Sans" w:hAnsi="Open Sans"/>
          <w:color w:val="333333"/>
          <w:sz w:val="21"/>
          <w:szCs w:val="21"/>
        </w:rPr>
        <w:t xml:space="preserve">Classification should follow a tiered risk model aligned with NIST AI RMF principles. High-risk systems — those that directly influence clinical decisions or access sensitive patient data — require the most rigorous governance controls. Lower-risk systems such as operational scheduling tools may follow streamlined processes.</w:t>
      </w:r>
    </w:p>
    <w:p>
      <w:pPr>
        <w:pStyle w:val="Heading2"/>
        <w:spacing w:before="280" w:after="160"/>
      </w:pPr>
      <w:r>
        <w:rPr>
          <w:rFonts w:ascii="Montserrat" w:cs="Montserrat" w:eastAsia="Montserrat" w:hAnsi="Montserrat"/>
          <w:b/>
          <w:bCs/>
          <w:color w:val="0D9488"/>
          <w:sz w:val="26"/>
          <w:szCs w:val="26"/>
        </w:rPr>
        <w:t xml:space="preserve">2. Risk Assessment Framework</w:t>
      </w:r>
    </w:p>
    <w:p>
      <w:pPr>
        <w:spacing w:after="160" w:line="320"/>
      </w:pPr>
      <w:r>
        <w:rPr>
          <w:rFonts w:ascii="Open Sans" w:cs="Open Sans" w:eastAsia="Open Sans" w:hAnsi="Open Sans"/>
          <w:color w:val="333333"/>
          <w:sz w:val="21"/>
          <w:szCs w:val="21"/>
        </w:rPr>
        <w:t xml:space="preserve">Each AI system requires a structured risk assessment that evaluates multiple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Risk Dimension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Key Questions</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Assessment Method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Patient Safety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Could this tool cause harm through incorrect outputs?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Clinical validation studies, failure mode analysis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Bias and Fairness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Does this tool perform equitably across demographic groups?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Disaggregated performance metrics, fairness testing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Data Privacy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What PHI does this system access and how is it protected?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Privacy impact assessment, data flow mapping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Clinical Validity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Is this tool’s accuracy validated for our patient population?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Local validation studies, literature review</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Cybersecurity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What attack surfaces does this system introduce?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Threat modeling, penetration testing, NIST 800-53 controls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Regulatory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What regulations apply and are we compliant?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Regulatory mapping, gap analysis</w:t>
            </w:r>
          </w:p>
        </w:tc>
      </w:tr>
    </w:tbl>
    <w:p>
      <w:pPr>
        <w:spacing w:before="200" w:after="200"/>
      </w:pPr>
    </w:p>
    <w:p>
      <w:pPr>
        <w:pStyle w:val="Heading2"/>
        <w:spacing w:before="280" w:after="160"/>
      </w:pPr>
      <w:r>
        <w:rPr>
          <w:rFonts w:ascii="Montserrat" w:cs="Montserrat" w:eastAsia="Montserrat" w:hAnsi="Montserrat"/>
          <w:b/>
          <w:bCs/>
          <w:color w:val="0D9488"/>
          <w:sz w:val="26"/>
          <w:szCs w:val="26"/>
        </w:rPr>
        <w:t xml:space="preserve">3. Algorithmic Impact Assessments</w:t>
      </w:r>
    </w:p>
    <w:p>
      <w:pPr>
        <w:spacing w:after="160" w:line="320"/>
      </w:pPr>
      <w:r>
        <w:rPr>
          <w:rFonts w:ascii="Open Sans" w:cs="Open Sans" w:eastAsia="Open Sans" w:hAnsi="Open Sans"/>
          <w:color w:val="333333"/>
          <w:sz w:val="21"/>
          <w:szCs w:val="21"/>
        </w:rPr>
        <w:t xml:space="preserve">Algorithmic Impact Assessments (AIAs) serve as the governance equivalent of security assessments — structured, documented evaluations performed before deployment and on a recurring basis. An effective AIA process includes pre-deployment assessments that establish baseline performance characteristics and identify potential risks, bias testing across protected demographic categories including race, ethnicity, gender, age, and socioeconomic status, ongoing monitoring protocols that define performance thresholds and drift detection parameters, and remediation procedures that specify what happens when an algorithm falls below acceptable performance standards.</w:t>
      </w:r>
    </w:p>
    <w:p>
      <w:pPr>
        <w:spacing w:after="160" w:line="320"/>
      </w:pPr>
      <w:r>
        <w:rPr>
          <w:rFonts w:ascii="Open Sans" w:cs="Open Sans" w:eastAsia="Open Sans" w:hAnsi="Open Sans"/>
          <w:color w:val="333333"/>
          <w:sz w:val="21"/>
          <w:szCs w:val="21"/>
        </w:rPr>
        <w:t xml:space="preserve">The AIA process should be proportional to risk tier. High-risk clinical AI requires comprehensive assessment with clinical oversight committee review. Medium-risk operational AI may follow a streamlined assessment protocol. The key is having a defined, documented process for every tier.</w:t>
      </w:r>
    </w:p>
    <w:p>
      <w:pPr>
        <w:pStyle w:val="Heading2"/>
        <w:spacing w:before="280" w:after="160"/>
      </w:pPr>
      <w:r>
        <w:rPr>
          <w:rFonts w:ascii="Montserrat" w:cs="Montserrat" w:eastAsia="Montserrat" w:hAnsi="Montserrat"/>
          <w:b/>
          <w:bCs/>
          <w:color w:val="0D9488"/>
          <w:sz w:val="26"/>
          <w:szCs w:val="26"/>
        </w:rPr>
        <w:t xml:space="preserve">4. Model Lifecycle Governance</w:t>
      </w:r>
    </w:p>
    <w:p>
      <w:pPr>
        <w:spacing w:after="160" w:line="320"/>
      </w:pPr>
      <w:r>
        <w:rPr>
          <w:rFonts w:ascii="Open Sans" w:cs="Open Sans" w:eastAsia="Open Sans" w:hAnsi="Open Sans"/>
          <w:color w:val="333333"/>
          <w:sz w:val="21"/>
          <w:szCs w:val="21"/>
        </w:rPr>
        <w:t xml:space="preserve">AI governance must span the complete model lifecycle with defined controls, approval gates, and documentation requirements at each phase:</w:t>
      </w:r>
    </w:p>
    <w:p>
      <w:pPr>
        <w:pStyle w:val="ListParagraph"/>
        <w:numPr>
          <w:ilvl w:val="0"/>
          <w:numId w:val="2"/>
        </w:numPr>
        <w:spacing w:after="100" w:line="320"/>
      </w:pPr>
      <w:r>
        <w:rPr>
          <w:rFonts w:ascii="Open Sans" w:cs="Open Sans" w:eastAsia="Open Sans" w:hAnsi="Open Sans"/>
          <w:color w:val="333333"/>
          <w:sz w:val="21"/>
          <w:szCs w:val="21"/>
        </w:rPr>
        <w:t xml:space="preserve">Acquisition/Development: Vendor due diligence, requirements validation, data quality assessment</w:t>
      </w:r>
    </w:p>
    <w:p>
      <w:pPr>
        <w:pStyle w:val="ListParagraph"/>
        <w:numPr>
          <w:ilvl w:val="0"/>
          <w:numId w:val="2"/>
        </w:numPr>
        <w:spacing w:after="100" w:line="320"/>
      </w:pPr>
      <w:r>
        <w:rPr>
          <w:rFonts w:ascii="Open Sans" w:cs="Open Sans" w:eastAsia="Open Sans" w:hAnsi="Open Sans"/>
          <w:color w:val="333333"/>
          <w:sz w:val="21"/>
          <w:szCs w:val="21"/>
        </w:rPr>
        <w:t xml:space="preserve">Validation: Local performance testing, bias evaluation, clinical workflow integration assessment</w:t>
      </w:r>
    </w:p>
    <w:p>
      <w:pPr>
        <w:pStyle w:val="ListParagraph"/>
        <w:numPr>
          <w:ilvl w:val="0"/>
          <w:numId w:val="2"/>
        </w:numPr>
        <w:spacing w:after="100" w:line="320"/>
      </w:pPr>
      <w:r>
        <w:rPr>
          <w:rFonts w:ascii="Open Sans" w:cs="Open Sans" w:eastAsia="Open Sans" w:hAnsi="Open Sans"/>
          <w:color w:val="333333"/>
          <w:sz w:val="21"/>
          <w:szCs w:val="21"/>
        </w:rPr>
        <w:t xml:space="preserve">Deployment: Phased rollout, clinician training, monitoring infrastructure activation</w:t>
      </w:r>
    </w:p>
    <w:p>
      <w:pPr>
        <w:pStyle w:val="ListParagraph"/>
        <w:numPr>
          <w:ilvl w:val="0"/>
          <w:numId w:val="2"/>
        </w:numPr>
        <w:spacing w:after="100" w:line="320"/>
      </w:pPr>
      <w:r>
        <w:rPr>
          <w:rFonts w:ascii="Open Sans" w:cs="Open Sans" w:eastAsia="Open Sans" w:hAnsi="Open Sans"/>
          <w:color w:val="333333"/>
          <w:sz w:val="21"/>
          <w:szCs w:val="21"/>
        </w:rPr>
        <w:t xml:space="preserve">Monitoring: Continuous performance tracking, drift detection, incident reporting</w:t>
      </w:r>
    </w:p>
    <w:p>
      <w:pPr>
        <w:pStyle w:val="ListParagraph"/>
        <w:numPr>
          <w:ilvl w:val="0"/>
          <w:numId w:val="2"/>
        </w:numPr>
        <w:spacing w:after="100" w:line="320"/>
      </w:pPr>
      <w:r>
        <w:rPr>
          <w:rFonts w:ascii="Open Sans" w:cs="Open Sans" w:eastAsia="Open Sans" w:hAnsi="Open Sans"/>
          <w:color w:val="333333"/>
          <w:sz w:val="21"/>
          <w:szCs w:val="21"/>
        </w:rPr>
        <w:t xml:space="preserve">Retraining/Update: Change control processes, re-validation requirements, regression testing</w:t>
      </w:r>
    </w:p>
    <w:p>
      <w:pPr>
        <w:pStyle w:val="ListParagraph"/>
        <w:numPr>
          <w:ilvl w:val="0"/>
          <w:numId w:val="2"/>
        </w:numPr>
        <w:spacing w:after="160" w:line="320"/>
      </w:pPr>
      <w:r>
        <w:rPr>
          <w:rFonts w:ascii="Open Sans" w:cs="Open Sans" w:eastAsia="Open Sans" w:hAnsi="Open Sans"/>
          <w:color w:val="333333"/>
          <w:sz w:val="21"/>
          <w:szCs w:val="21"/>
        </w:rPr>
        <w:t xml:space="preserve">Decommissioning: Transition planning, data retention policies, workflow impact assessment</w:t>
      </w:r>
    </w:p>
    <w:p>
      <w:pPr>
        <w:pStyle w:val="Heading2"/>
        <w:spacing w:before="280" w:after="160"/>
      </w:pPr>
      <w:r>
        <w:rPr>
          <w:rFonts w:ascii="Montserrat" w:cs="Montserrat" w:eastAsia="Montserrat" w:hAnsi="Montserrat"/>
          <w:b/>
          <w:bCs/>
          <w:color w:val="0D9488"/>
          <w:sz w:val="26"/>
          <w:szCs w:val="26"/>
        </w:rPr>
        <w:t xml:space="preserve">5. Continuous Monitoring and Drift Detection</w:t>
      </w:r>
    </w:p>
    <w:p>
      <w:pPr>
        <w:spacing w:after="160" w:line="320"/>
      </w:pPr>
      <w:r>
        <w:rPr>
          <w:rFonts w:ascii="Open Sans" w:cs="Open Sans" w:eastAsia="Open Sans" w:hAnsi="Open Sans"/>
          <w:color w:val="333333"/>
          <w:sz w:val="21"/>
          <w:szCs w:val="21"/>
        </w:rPr>
        <w:t xml:space="preserve">AI models are not static — their performance changes as the data they encounter evolves. Effective governance requires continuous monitoring infrastructure that tracks key performance indicators across the AI portfolio. This includes accuracy and precision metrics measured against established baselines, fairness indicators that flag emerging disparities across patient populations, data quality metrics that detect changes in input data characteristics, clinical outcome correlations that validate real-world effectiveness, and automated alerting when any metric crosses defined threshold boundaries.</w:t>
      </w:r>
    </w:p>
    <w:p>
      <w:pPr>
        <w:spacing w:after="160" w:line="320"/>
      </w:pPr>
      <w:r>
        <w:rPr>
          <w:rFonts w:ascii="Open Sans" w:cs="Open Sans" w:eastAsia="Open Sans" w:hAnsi="Open Sans"/>
          <w:color w:val="333333"/>
          <w:sz w:val="21"/>
          <w:szCs w:val="21"/>
        </w:rPr>
        <w:t xml:space="preserve">The monitoring framework should produce regular governance reports that summarize portfolio-level performance, highlight systems requiring attention, and track remediation activities for identified issues.</w:t>
      </w:r>
    </w:p>
    <w:p>
      <w:pPr>
        <w:pStyle w:val="Heading2"/>
        <w:spacing w:before="280" w:after="160"/>
      </w:pPr>
      <w:r>
        <w:rPr>
          <w:rFonts w:ascii="Montserrat" w:cs="Montserrat" w:eastAsia="Montserrat" w:hAnsi="Montserrat"/>
          <w:b/>
          <w:bCs/>
          <w:color w:val="0D9488"/>
          <w:sz w:val="26"/>
          <w:szCs w:val="26"/>
        </w:rPr>
        <w:t xml:space="preserve">6. Transparency and Explainability</w:t>
      </w:r>
    </w:p>
    <w:p>
      <w:pPr>
        <w:spacing w:after="160" w:line="320"/>
      </w:pPr>
      <w:r>
        <w:rPr>
          <w:rFonts w:ascii="Open Sans" w:cs="Open Sans" w:eastAsia="Open Sans" w:hAnsi="Open Sans"/>
          <w:color w:val="333333"/>
          <w:sz w:val="21"/>
          <w:szCs w:val="21"/>
        </w:rPr>
        <w:t xml:space="preserve">Healthcare AI governance must address transparency at multiple levels. Clinicians need sufficient understanding of how AI tools generate their outputs to exercise appropriate clinical judgment. Patients have emerging rights to know when AI influences their care decisions. Regulators require documentation of how AI systems function and how decisions are made. And organizational leadership needs clear reporting on AI-related risks and performance.</w:t>
      </w:r>
    </w:p>
    <w:p>
      <w:pPr>
        <w:spacing w:after="160" w:line="320"/>
      </w:pPr>
      <w:r>
        <w:rPr>
          <w:rFonts w:ascii="Open Sans" w:cs="Open Sans" w:eastAsia="Open Sans" w:hAnsi="Open Sans"/>
          <w:color w:val="333333"/>
          <w:sz w:val="21"/>
          <w:szCs w:val="21"/>
        </w:rPr>
        <w:t xml:space="preserve">Governance programs should establish explainability standards proportional to risk tier, with the highest standards applied to AI systems that directly influence clinical decision-making.</w:t>
      </w:r>
    </w:p>
    <w:p>
      <w:pPr>
        <w:pStyle w:val="Heading2"/>
        <w:spacing w:before="280" w:after="160"/>
      </w:pPr>
      <w:r>
        <w:rPr>
          <w:rFonts w:ascii="Montserrat" w:cs="Montserrat" w:eastAsia="Montserrat" w:hAnsi="Montserrat"/>
          <w:b/>
          <w:bCs/>
          <w:color w:val="0D9488"/>
          <w:sz w:val="26"/>
          <w:szCs w:val="26"/>
        </w:rPr>
        <w:t xml:space="preserve">7. Vendor AI Due Diligence</w:t>
      </w:r>
    </w:p>
    <w:p>
      <w:pPr>
        <w:spacing w:after="160" w:line="320"/>
      </w:pPr>
      <w:r>
        <w:rPr>
          <w:rFonts w:ascii="Open Sans" w:cs="Open Sans" w:eastAsia="Open Sans" w:hAnsi="Open Sans"/>
          <w:color w:val="333333"/>
          <w:sz w:val="21"/>
          <w:szCs w:val="21"/>
        </w:rPr>
        <w:t xml:space="preserve">The majority of healthcare AI comes from third-party vendors, making vendor governance a critical component. Organizations need standardized vendor assessment processes that evaluate training data provenance and representativeness, validation methodology and results, bias testing across demographic categories, model update and retraining practices, data security and privacy controls, and contractual provisions for performance monitoring and audit rights.</w:t>
      </w:r>
    </w:p>
    <w:p>
      <w:r>
        <w:br w:type="page"/>
      </w:r>
    </w:p>
    <w:p>
      <w:pPr>
        <w:pStyle w:val="Heading1"/>
        <w:spacing w:before="360" w:after="200"/>
      </w:pPr>
      <w:r>
        <w:rPr>
          <w:rFonts w:ascii="Montserrat" w:cs="Montserrat" w:eastAsia="Montserrat" w:hAnsi="Montserrat"/>
          <w:b/>
          <w:bCs/>
          <w:color w:val="0F2A4A"/>
          <w:sz w:val="32"/>
          <w:szCs w:val="32"/>
        </w:rPr>
        <w:t xml:space="preserve">Implementation Roadmap</w:t>
      </w:r>
    </w:p>
    <w:p>
      <w:pPr>
        <w:spacing w:after="160" w:line="320"/>
      </w:pPr>
      <w:r>
        <w:rPr>
          <w:rFonts w:ascii="Open Sans" w:cs="Open Sans" w:eastAsia="Open Sans" w:hAnsi="Open Sans"/>
          <w:color w:val="333333"/>
          <w:sz w:val="21"/>
          <w:szCs w:val="21"/>
        </w:rPr>
        <w:t xml:space="preserve">Building a scalable AI governance program is a multi-phase endeavor. The following roadmap provides a practical sequence for organizations at any stage of maturity.</w:t>
      </w:r>
    </w:p>
    <w:p>
      <w:pPr>
        <w:pStyle w:val="Heading2"/>
        <w:spacing w:before="280" w:after="160"/>
      </w:pPr>
      <w:r>
        <w:rPr>
          <w:rFonts w:ascii="Montserrat" w:cs="Montserrat" w:eastAsia="Montserrat" w:hAnsi="Montserrat"/>
          <w:b/>
          <w:bCs/>
          <w:color w:val="0D9488"/>
          <w:sz w:val="26"/>
          <w:szCs w:val="26"/>
        </w:rPr>
        <w:t xml:space="preserve">Phase 1: Foundation (Months 1–3)</w:t>
      </w:r>
    </w:p>
    <w:p>
      <w:pPr>
        <w:pStyle w:val="ListParagraph"/>
        <w:numPr>
          <w:ilvl w:val="0"/>
          <w:numId w:val="3"/>
        </w:numPr>
        <w:spacing w:after="100" w:line="320"/>
      </w:pPr>
      <w:r>
        <w:rPr>
          <w:rFonts w:ascii="Open Sans" w:cs="Open Sans" w:eastAsia="Open Sans" w:hAnsi="Open Sans"/>
          <w:b/>
          <w:bCs/>
          <w:color w:val="333333"/>
          <w:sz w:val="21"/>
          <w:szCs w:val="21"/>
        </w:rPr>
        <w:t xml:space="preserve">Establish AI Governance Committee: </w:t>
      </w:r>
      <w:r>
        <w:rPr>
          <w:rFonts w:ascii="Open Sans" w:cs="Open Sans" w:eastAsia="Open Sans" w:hAnsi="Open Sans"/>
          <w:color w:val="333333"/>
          <w:sz w:val="21"/>
          <w:szCs w:val="21"/>
        </w:rPr>
        <w:t xml:space="preserve">Form a cross-functional committee including CISO, CMIO, Compliance, Legal, Clinical Informatics, and IT leadership. Define charter, meeting cadence, and decision authority.</w:t>
      </w:r>
    </w:p>
    <w:p>
      <w:pPr>
        <w:pStyle w:val="ListParagraph"/>
        <w:numPr>
          <w:ilvl w:val="0"/>
          <w:numId w:val="3"/>
        </w:numPr>
        <w:spacing w:after="100" w:line="320"/>
      </w:pPr>
      <w:r>
        <w:rPr>
          <w:rFonts w:ascii="Open Sans" w:cs="Open Sans" w:eastAsia="Open Sans" w:hAnsi="Open Sans"/>
          <w:b/>
          <w:bCs/>
          <w:color w:val="333333"/>
          <w:sz w:val="21"/>
          <w:szCs w:val="21"/>
        </w:rPr>
        <w:t xml:space="preserve">Conduct AI Inventory: </w:t>
      </w:r>
      <w:r>
        <w:rPr>
          <w:rFonts w:ascii="Open Sans" w:cs="Open Sans" w:eastAsia="Open Sans" w:hAnsi="Open Sans"/>
          <w:color w:val="333333"/>
          <w:sz w:val="21"/>
          <w:szCs w:val="21"/>
        </w:rPr>
        <w:t xml:space="preserve">Survey all departments and vendor contracts to identify AI/ML systems currently in use. Classify by risk tier and regulatory status.</w:t>
      </w:r>
    </w:p>
    <w:p>
      <w:pPr>
        <w:pStyle w:val="ListParagraph"/>
        <w:numPr>
          <w:ilvl w:val="0"/>
          <w:numId w:val="3"/>
        </w:numPr>
        <w:spacing w:after="100" w:line="320"/>
      </w:pPr>
      <w:r>
        <w:rPr>
          <w:rFonts w:ascii="Open Sans" w:cs="Open Sans" w:eastAsia="Open Sans" w:hAnsi="Open Sans"/>
          <w:b/>
          <w:bCs/>
          <w:color w:val="333333"/>
          <w:sz w:val="21"/>
          <w:szCs w:val="21"/>
        </w:rPr>
        <w:t xml:space="preserve">Develop Core Policies: </w:t>
      </w:r>
      <w:r>
        <w:rPr>
          <w:rFonts w:ascii="Open Sans" w:cs="Open Sans" w:eastAsia="Open Sans" w:hAnsi="Open Sans"/>
          <w:color w:val="333333"/>
          <w:sz w:val="21"/>
          <w:szCs w:val="21"/>
        </w:rPr>
        <w:t xml:space="preserve">Create foundational governance documents including AI Acceptable Use Policy, AI Risk Assessment Policy, and Vendor AI Assessment Standards.</w:t>
      </w:r>
    </w:p>
    <w:p>
      <w:pPr>
        <w:pStyle w:val="ListParagraph"/>
        <w:numPr>
          <w:ilvl w:val="0"/>
          <w:numId w:val="3"/>
        </w:numPr>
        <w:spacing w:after="200" w:line="320"/>
      </w:pPr>
      <w:r>
        <w:rPr>
          <w:rFonts w:ascii="Open Sans" w:cs="Open Sans" w:eastAsia="Open Sans" w:hAnsi="Open Sans"/>
          <w:b/>
          <w:bCs/>
          <w:color w:val="333333"/>
          <w:sz w:val="21"/>
          <w:szCs w:val="21"/>
        </w:rPr>
        <w:t xml:space="preserve">Map Regulatory Requirements: </w:t>
      </w:r>
      <w:r>
        <w:rPr>
          <w:rFonts w:ascii="Open Sans" w:cs="Open Sans" w:eastAsia="Open Sans" w:hAnsi="Open Sans"/>
          <w:color w:val="333333"/>
          <w:sz w:val="21"/>
          <w:szCs w:val="21"/>
        </w:rPr>
        <w:t xml:space="preserve">Identify applicable federal, state, and accreditation requirements and map them to governance controls.</w:t>
      </w:r>
    </w:p>
    <w:p>
      <w:pPr>
        <w:pStyle w:val="Heading2"/>
        <w:spacing w:before="280" w:after="160"/>
      </w:pPr>
      <w:r>
        <w:rPr>
          <w:rFonts w:ascii="Montserrat" w:cs="Montserrat" w:eastAsia="Montserrat" w:hAnsi="Montserrat"/>
          <w:b/>
          <w:bCs/>
          <w:color w:val="0D9488"/>
          <w:sz w:val="26"/>
          <w:szCs w:val="26"/>
        </w:rPr>
        <w:t xml:space="preserve">Phase 2: Operationalization (Months 4–6)</w:t>
      </w:r>
    </w:p>
    <w:p>
      <w:pPr>
        <w:pStyle w:val="ListParagraph"/>
        <w:numPr>
          <w:ilvl w:val="0"/>
          <w:numId w:val="4"/>
        </w:numPr>
        <w:spacing w:after="100" w:line="320"/>
      </w:pPr>
      <w:r>
        <w:rPr>
          <w:rFonts w:ascii="Open Sans" w:cs="Open Sans" w:eastAsia="Open Sans" w:hAnsi="Open Sans"/>
          <w:b/>
          <w:bCs/>
          <w:color w:val="333333"/>
          <w:sz w:val="21"/>
          <w:szCs w:val="21"/>
        </w:rPr>
        <w:t xml:space="preserve">Implement Risk Assessment Process: </w:t>
      </w:r>
      <w:r>
        <w:rPr>
          <w:rFonts w:ascii="Open Sans" w:cs="Open Sans" w:eastAsia="Open Sans" w:hAnsi="Open Sans"/>
          <w:color w:val="333333"/>
          <w:sz w:val="21"/>
          <w:szCs w:val="21"/>
        </w:rPr>
        <w:t xml:space="preserve">Deploy tiered risk assessment workflows. Begin with high-risk systems identified in the inventory phase.</w:t>
      </w:r>
    </w:p>
    <w:p>
      <w:pPr>
        <w:pStyle w:val="ListParagraph"/>
        <w:numPr>
          <w:ilvl w:val="0"/>
          <w:numId w:val="4"/>
        </w:numPr>
        <w:spacing w:after="100" w:line="320"/>
      </w:pPr>
      <w:r>
        <w:rPr>
          <w:rFonts w:ascii="Open Sans" w:cs="Open Sans" w:eastAsia="Open Sans" w:hAnsi="Open Sans"/>
          <w:b/>
          <w:bCs/>
          <w:color w:val="333333"/>
          <w:sz w:val="21"/>
          <w:szCs w:val="21"/>
        </w:rPr>
        <w:t xml:space="preserve">Launch Monitoring Infrastructure: </w:t>
      </w:r>
      <w:r>
        <w:rPr>
          <w:rFonts w:ascii="Open Sans" w:cs="Open Sans" w:eastAsia="Open Sans" w:hAnsi="Open Sans"/>
          <w:color w:val="333333"/>
          <w:sz w:val="21"/>
          <w:szCs w:val="21"/>
        </w:rPr>
        <w:t xml:space="preserve">Deploy performance monitoring dashboards for critical AI systems. Establish baseline metrics and alerting thresholds.</w:t>
      </w:r>
    </w:p>
    <w:p>
      <w:pPr>
        <w:pStyle w:val="ListParagraph"/>
        <w:numPr>
          <w:ilvl w:val="0"/>
          <w:numId w:val="4"/>
        </w:numPr>
        <w:spacing w:after="100" w:line="320"/>
      </w:pPr>
      <w:r>
        <w:rPr>
          <w:rFonts w:ascii="Open Sans" w:cs="Open Sans" w:eastAsia="Open Sans" w:hAnsi="Open Sans"/>
          <w:b/>
          <w:bCs/>
          <w:color w:val="333333"/>
          <w:sz w:val="21"/>
          <w:szCs w:val="21"/>
        </w:rPr>
        <w:t xml:space="preserve">Deploy Vendor Assessment Process: </w:t>
      </w:r>
      <w:r>
        <w:rPr>
          <w:rFonts w:ascii="Open Sans" w:cs="Open Sans" w:eastAsia="Open Sans" w:hAnsi="Open Sans"/>
          <w:color w:val="333333"/>
          <w:sz w:val="21"/>
          <w:szCs w:val="21"/>
        </w:rPr>
        <w:t xml:space="preserve">Integrate AI-specific due diligence into vendor management and procurement workflows.</w:t>
      </w:r>
    </w:p>
    <w:p>
      <w:pPr>
        <w:pStyle w:val="ListParagraph"/>
        <w:numPr>
          <w:ilvl w:val="0"/>
          <w:numId w:val="4"/>
        </w:numPr>
        <w:spacing w:after="200" w:line="320"/>
      </w:pPr>
      <w:r>
        <w:rPr>
          <w:rFonts w:ascii="Open Sans" w:cs="Open Sans" w:eastAsia="Open Sans" w:hAnsi="Open Sans"/>
          <w:b/>
          <w:bCs/>
          <w:color w:val="333333"/>
          <w:sz w:val="21"/>
          <w:szCs w:val="21"/>
        </w:rPr>
        <w:t xml:space="preserve">Conduct Training: </w:t>
      </w:r>
      <w:r>
        <w:rPr>
          <w:rFonts w:ascii="Open Sans" w:cs="Open Sans" w:eastAsia="Open Sans" w:hAnsi="Open Sans"/>
          <w:color w:val="333333"/>
          <w:sz w:val="21"/>
          <w:szCs w:val="21"/>
        </w:rPr>
        <w:t xml:space="preserve">Deliver role-based training to governance committee members, AI system owners, clinicians, and procurement staff.</w:t>
      </w:r>
    </w:p>
    <w:p>
      <w:pPr>
        <w:pStyle w:val="Heading2"/>
        <w:spacing w:before="280" w:after="160"/>
      </w:pPr>
      <w:r>
        <w:rPr>
          <w:rFonts w:ascii="Montserrat" w:cs="Montserrat" w:eastAsia="Montserrat" w:hAnsi="Montserrat"/>
          <w:b/>
          <w:bCs/>
          <w:color w:val="0D9488"/>
          <w:sz w:val="26"/>
          <w:szCs w:val="26"/>
        </w:rPr>
        <w:t xml:space="preserve">Phase 3: Maturation (Months 7–12)</w:t>
      </w:r>
    </w:p>
    <w:p>
      <w:pPr>
        <w:pStyle w:val="ListParagraph"/>
        <w:numPr>
          <w:ilvl w:val="0"/>
          <w:numId w:val="5"/>
        </w:numPr>
        <w:spacing w:after="100" w:line="320"/>
      </w:pPr>
      <w:r>
        <w:rPr>
          <w:rFonts w:ascii="Open Sans" w:cs="Open Sans" w:eastAsia="Open Sans" w:hAnsi="Open Sans"/>
          <w:color w:val="333333"/>
          <w:sz w:val="21"/>
          <w:szCs w:val="21"/>
        </w:rPr>
        <w:t xml:space="preserve">Expand monitoring coverage to all AI systems across the portfolio</w:t>
      </w:r>
    </w:p>
    <w:p>
      <w:pPr>
        <w:pStyle w:val="ListParagraph"/>
        <w:numPr>
          <w:ilvl w:val="0"/>
          <w:numId w:val="5"/>
        </w:numPr>
        <w:spacing w:after="100" w:line="320"/>
      </w:pPr>
      <w:r>
        <w:rPr>
          <w:rFonts w:ascii="Open Sans" w:cs="Open Sans" w:eastAsia="Open Sans" w:hAnsi="Open Sans"/>
          <w:color w:val="333333"/>
          <w:sz w:val="21"/>
          <w:szCs w:val="21"/>
        </w:rPr>
        <w:t xml:space="preserve">Implement automated compliance reporting against regulatory requirements</w:t>
      </w:r>
    </w:p>
    <w:p>
      <w:pPr>
        <w:pStyle w:val="ListParagraph"/>
        <w:numPr>
          <w:ilvl w:val="0"/>
          <w:numId w:val="5"/>
        </w:numPr>
        <w:spacing w:after="100" w:line="320"/>
      </w:pPr>
      <w:r>
        <w:rPr>
          <w:rFonts w:ascii="Open Sans" w:cs="Open Sans" w:eastAsia="Open Sans" w:hAnsi="Open Sans"/>
          <w:color w:val="333333"/>
          <w:sz w:val="21"/>
          <w:szCs w:val="21"/>
        </w:rPr>
        <w:t xml:space="preserve">Integrate AI governance metrics into enterprise risk management and board reporting</w:t>
      </w:r>
    </w:p>
    <w:p>
      <w:pPr>
        <w:pStyle w:val="ListParagraph"/>
        <w:numPr>
          <w:ilvl w:val="0"/>
          <w:numId w:val="5"/>
        </w:numPr>
        <w:spacing w:after="100" w:line="320"/>
      </w:pPr>
      <w:r>
        <w:rPr>
          <w:rFonts w:ascii="Open Sans" w:cs="Open Sans" w:eastAsia="Open Sans" w:hAnsi="Open Sans"/>
          <w:color w:val="333333"/>
          <w:sz w:val="21"/>
          <w:szCs w:val="21"/>
        </w:rPr>
        <w:t xml:space="preserve">Develop incident response procedures specific to AI failures and adverse outcomes</w:t>
      </w:r>
    </w:p>
    <w:p>
      <w:pPr>
        <w:pStyle w:val="ListParagraph"/>
        <w:numPr>
          <w:ilvl w:val="0"/>
          <w:numId w:val="5"/>
        </w:numPr>
        <w:spacing w:after="200" w:line="320"/>
      </w:pPr>
      <w:r>
        <w:rPr>
          <w:rFonts w:ascii="Open Sans" w:cs="Open Sans" w:eastAsia="Open Sans" w:hAnsi="Open Sans"/>
          <w:color w:val="333333"/>
          <w:sz w:val="21"/>
          <w:szCs w:val="21"/>
        </w:rPr>
        <w:t xml:space="preserve">Establish continuous improvement cycle based on lessons learned and regulatory updates</w:t>
      </w:r>
    </w:p>
    <w:p>
      <w:r>
        <w:br w:type="page"/>
      </w:r>
    </w:p>
    <w:p>
      <w:pPr>
        <w:pStyle w:val="Heading1"/>
        <w:spacing w:before="360" w:after="200"/>
      </w:pPr>
      <w:r>
        <w:rPr>
          <w:rFonts w:ascii="Montserrat" w:cs="Montserrat" w:eastAsia="Montserrat" w:hAnsi="Montserrat"/>
          <w:b/>
          <w:bCs/>
          <w:color w:val="0F2A4A"/>
          <w:sz w:val="32"/>
          <w:szCs w:val="32"/>
        </w:rPr>
        <w:t xml:space="preserve">Technology Platform Requirements</w:t>
      </w:r>
    </w:p>
    <w:p>
      <w:pPr>
        <w:spacing w:after="160" w:line="320"/>
      </w:pPr>
      <w:r>
        <w:rPr>
          <w:rFonts w:ascii="Open Sans" w:cs="Open Sans" w:eastAsia="Open Sans" w:hAnsi="Open Sans"/>
          <w:color w:val="333333"/>
          <w:sz w:val="21"/>
          <w:szCs w:val="21"/>
        </w:rPr>
        <w:t xml:space="preserve">Manual governance processes do not scale. As organizations’ AI portfolios grow, purpose-built technology platforms become essential for maintaining consistent oversight without creating bottlenecks that slow AI adoption.</w:t>
      </w:r>
    </w:p>
    <w:p>
      <w:pPr>
        <w:pStyle w:val="Heading2"/>
        <w:spacing w:before="280" w:after="160"/>
      </w:pPr>
      <w:r>
        <w:rPr>
          <w:rFonts w:ascii="Montserrat" w:cs="Montserrat" w:eastAsia="Montserrat" w:hAnsi="Montserrat"/>
          <w:b/>
          <w:bCs/>
          <w:color w:val="0D9488"/>
          <w:sz w:val="26"/>
          <w:szCs w:val="26"/>
        </w:rPr>
        <w:t xml:space="preserve">Essential Platform Capabilities</w:t>
      </w:r>
    </w:p>
    <w:p>
      <w:pPr>
        <w:spacing w:after="160" w:line="320"/>
      </w:pPr>
      <w:r>
        <w:rPr>
          <w:rFonts w:ascii="Open Sans" w:cs="Open Sans" w:eastAsia="Open Sans" w:hAnsi="Open Sans"/>
          <w:color w:val="333333"/>
          <w:sz w:val="21"/>
          <w:szCs w:val="21"/>
        </w:rPr>
        <w:t xml:space="preserve">An effective AI governance platform for healthcare should provide the following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Capability</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Description</w:t>
            </w:r>
          </w:p>
        </w:tc>
        <w:tc>
          <w:tcPr>
            <w:tcW w:type="dxa" w:w="3120"/>
            <w:tcBorders>
              <w:top w:val="single" w:color="D1D5DB" w:sz="1"/>
              <w:left w:val="single" w:color="D1D5DB" w:sz="1"/>
              <w:bottom w:val="single" w:color="D1D5DB" w:sz="1"/>
              <w:right w:val="single" w:color="D1D5DB" w:sz="1"/>
            </w:tcBorders>
            <w:shd w:fill="0F2A4A" w:val="clear"/>
            <w:tcMar>
              <w:top w:type="dxa" w:w="80"/>
              <w:left w:type="dxa" w:w="120"/>
              <w:bottom w:type="dxa" w:w="80"/>
              <w:right w:type="dxa" w:w="120"/>
            </w:tcMar>
          </w:tcPr>
          <w:p>
            <w:r>
              <w:rPr>
                <w:rFonts w:ascii="Open Sans" w:cs="Open Sans" w:eastAsia="Open Sans" w:hAnsi="Open Sans"/>
                <w:b/>
                <w:bCs/>
                <w:color w:val="FFFFFF"/>
                <w:sz w:val="19"/>
                <w:szCs w:val="19"/>
              </w:rPr>
              <w:t xml:space="preserve">Governance Value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AI Asset Registry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Centralized catalog of all AI/ML systems with metadata, ownership, and risk classification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Provides the single source of truth for what AI exists in the organization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Risk Assessment Engine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Structured, tiered assessment workflows mapped to NIST AI RMF functions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Ensures consistent, documented risk evaluation for every AI system</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Impact Assessment Workflow</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Templated algorithmic impact assessments with approval routing and evidence management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Standardizes bias testing and fairness evaluation processes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Compliance Mapping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Cross-walk controls across NIST AI RMF, FDA SaMD, ONC HTI-1, HIPAA, and state regulations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Reduces duplication and ensures comprehensive regulatory coverage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Monitoring Dashboard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Real-time performance, bias, and drift metrics across the AI portfolio</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Open Sans" w:cs="Open Sans" w:eastAsia="Open Sans" w:hAnsi="Open Sans"/>
                <w:color w:val="333333"/>
                <w:sz w:val="19"/>
                <w:szCs w:val="19"/>
              </w:rPr>
              <w:t xml:space="preserve">Enables proactive identification of degrading or biased AI systems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Vendor Assessment Portal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Standardized AI-specific questionnaires and scoring for third-party tools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Open Sans" w:cs="Open Sans" w:eastAsia="Open Sans" w:hAnsi="Open Sans"/>
                <w:color w:val="333333"/>
                <w:sz w:val="19"/>
                <w:szCs w:val="19"/>
              </w:rPr>
              <w:t xml:space="preserve">Streamlines vendor due diligence and creates auditable records</w:t>
            </w:r>
          </w:p>
        </w:tc>
      </w:tr>
    </w:tbl>
    <w:p>
      <w:pPr>
        <w:spacing w:before="200" w:after="200"/>
      </w:pPr>
    </w:p>
    <w:p>
      <w:pPr>
        <w:pStyle w:val="Heading2"/>
        <w:spacing w:before="280" w:after="160"/>
      </w:pPr>
      <w:r>
        <w:rPr>
          <w:rFonts w:ascii="Montserrat" w:cs="Montserrat" w:eastAsia="Montserrat" w:hAnsi="Montserrat"/>
          <w:b/>
          <w:bCs/>
          <w:color w:val="0D9488"/>
          <w:sz w:val="26"/>
          <w:szCs w:val="26"/>
        </w:rPr>
        <w:t xml:space="preserve">Multi-Framework Compliance Mapping</w:t>
      </w:r>
    </w:p>
    <w:p>
      <w:pPr>
        <w:spacing w:after="160" w:line="320"/>
      </w:pPr>
      <w:r>
        <w:rPr>
          <w:rFonts w:ascii="Open Sans" w:cs="Open Sans" w:eastAsia="Open Sans" w:hAnsi="Open Sans"/>
          <w:color w:val="333333"/>
          <w:sz w:val="21"/>
          <w:szCs w:val="21"/>
        </w:rPr>
        <w:t xml:space="preserve">Healthcare organizations operate under multiple overlapping regulatory frameworks. The most significant efficiency gain comes from mapping AI governance controls across frameworks once, then managing compliance holistically rather than in silos. This approach — already proven effective in cybersecurity compliance through frameworks like NIST 800-53 and FedRAMP — translates directly to AI governance.</w:t>
      </w:r>
    </w:p>
    <w:p>
      <w:pPr>
        <w:spacing w:after="160" w:line="320"/>
      </w:pPr>
      <w:r>
        <w:rPr>
          <w:rFonts w:ascii="Open Sans" w:cs="Open Sans" w:eastAsia="Open Sans" w:hAnsi="Open Sans"/>
          <w:color w:val="333333"/>
          <w:sz w:val="21"/>
          <w:szCs w:val="21"/>
        </w:rPr>
        <w:t xml:space="preserve">A single AI governance control may simultaneously satisfy requirements under NIST AI RMF (Govern function), ONC HTI-1 transparency provisions, state algorithmic impact assessment mandates, and Joint Commission standards. Organizations that map these relationships can demonstrate compliance across all applicable frameworks while implementing controls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6"/>
              <w:bottom w:val="single" w:color="0D9488" w:sz="1"/>
              <w:right w:val="single" w:color="0D9488" w:sz="1"/>
            </w:tcBorders>
            <w:shd w:fill="F0FDFA" w:val="clear"/>
            <w:tcMar>
              <w:top w:type="dxa" w:w="160"/>
              <w:left w:type="dxa" w:w="240"/>
              <w:bottom w:type="dxa" w:w="160"/>
              <w:right w:type="dxa" w:w="240"/>
            </w:tcMar>
          </w:tcPr>
          <w:p>
            <w:pPr>
              <w:spacing w:after="80"/>
            </w:pPr>
            <w:r>
              <w:rPr>
                <w:rFonts w:ascii="Montserrat" w:cs="Montserrat" w:eastAsia="Montserrat" w:hAnsi="Montserrat"/>
                <w:b/>
                <w:bCs/>
                <w:color w:val="0D9488"/>
                <w:sz w:val="20"/>
                <w:szCs w:val="20"/>
              </w:rPr>
              <w:t xml:space="preserve">Platform Architecture Consideration</w:t>
            </w:r>
          </w:p>
          <w:p>
            <w:pPr>
              <w:spacing w:after="0" w:line="300"/>
            </w:pPr>
            <w:r>
              <w:rPr>
                <w:rFonts w:ascii="Open Sans" w:cs="Open Sans" w:eastAsia="Open Sans" w:hAnsi="Open Sans"/>
                <w:color w:val="4B5563"/>
                <w:sz w:val="20"/>
                <w:szCs w:val="20"/>
              </w:rPr>
              <w:t xml:space="preserve">Cloud-native governance platforms built on FedRAMP-authorized infrastructure provide inherent advantages for healthcare organizations. They offer the scalability to manage growing AI portfolios, the security posture that healthcare regulators expect, and the deployment agility that keeps pace with AI adoption timelines.</w:t>
            </w:r>
          </w:p>
        </w:tc>
      </w:tr>
    </w:tbl>
    <w:p>
      <w:r>
        <w:br w:type="page"/>
      </w:r>
    </w:p>
    <w:p>
      <w:pPr>
        <w:pStyle w:val="Heading1"/>
        <w:spacing w:before="360" w:after="200"/>
      </w:pPr>
      <w:r>
        <w:rPr>
          <w:rFonts w:ascii="Montserrat" w:cs="Montserrat" w:eastAsia="Montserrat" w:hAnsi="Montserrat"/>
          <w:b/>
          <w:bCs/>
          <w:color w:val="0F2A4A"/>
          <w:sz w:val="32"/>
          <w:szCs w:val="32"/>
        </w:rPr>
        <w:t xml:space="preserve">Organizational Structure for AI Governance</w:t>
      </w:r>
    </w:p>
    <w:p>
      <w:pPr>
        <w:spacing w:after="160" w:line="320"/>
      </w:pPr>
      <w:r>
        <w:rPr>
          <w:rFonts w:ascii="Open Sans" w:cs="Open Sans" w:eastAsia="Open Sans" w:hAnsi="Open Sans"/>
          <w:color w:val="333333"/>
          <w:sz w:val="21"/>
          <w:szCs w:val="21"/>
        </w:rPr>
        <w:t xml:space="preserve">Technology alone does not create governance. Effective AI oversight requires clear organizational structures with defined roles, responsibilities, and decision authority.</w:t>
      </w:r>
    </w:p>
    <w:p>
      <w:pPr>
        <w:pStyle w:val="Heading2"/>
        <w:spacing w:before="280" w:after="160"/>
      </w:pPr>
      <w:r>
        <w:rPr>
          <w:rFonts w:ascii="Montserrat" w:cs="Montserrat" w:eastAsia="Montserrat" w:hAnsi="Montserrat"/>
          <w:b/>
          <w:bCs/>
          <w:color w:val="0D9488"/>
          <w:sz w:val="26"/>
          <w:szCs w:val="26"/>
        </w:rPr>
        <w:t xml:space="preserve">Recommended Governance Structure</w:t>
      </w:r>
    </w:p>
    <w:p>
      <w:pPr>
        <w:spacing w:before="200" w:after="120"/>
      </w:pPr>
      <w:r>
        <w:rPr>
          <w:rFonts w:ascii="Montserrat" w:cs="Montserrat" w:eastAsia="Montserrat" w:hAnsi="Montserrat"/>
          <w:b/>
          <w:bCs/>
          <w:color w:val="0F2A4A"/>
          <w:sz w:val="22"/>
          <w:szCs w:val="22"/>
        </w:rPr>
        <w:t xml:space="preserve">AI Governance Committee (Strategic)</w:t>
      </w:r>
    </w:p>
    <w:p>
      <w:pPr>
        <w:spacing w:after="160" w:line="320"/>
      </w:pPr>
      <w:r>
        <w:rPr>
          <w:rFonts w:ascii="Open Sans" w:cs="Open Sans" w:eastAsia="Open Sans" w:hAnsi="Open Sans"/>
          <w:color w:val="333333"/>
          <w:sz w:val="21"/>
          <w:szCs w:val="21"/>
        </w:rPr>
        <w:t xml:space="preserve">A cross-functional committee that sets AI strategy, approves policies, and provides oversight for high-risk AI deployments. Typical membership includes the CISO or CIO as chair, the Chief Medical Information Officer, the Chief Compliance Officer, General Counsel, a Chief Nursing Informatics Officer, department heads representing major AI-using clinical areas, and a patient safety representative.</w:t>
      </w:r>
    </w:p>
    <w:p>
      <w:pPr>
        <w:spacing w:before="200" w:after="120"/>
      </w:pPr>
      <w:r>
        <w:rPr>
          <w:rFonts w:ascii="Montserrat" w:cs="Montserrat" w:eastAsia="Montserrat" w:hAnsi="Montserrat"/>
          <w:b/>
          <w:bCs/>
          <w:color w:val="0F2A4A"/>
          <w:sz w:val="22"/>
          <w:szCs w:val="22"/>
        </w:rPr>
        <w:t xml:space="preserve">AI Review Board (Tactical)</w:t>
      </w:r>
    </w:p>
    <w:p>
      <w:pPr>
        <w:spacing w:after="160" w:line="320"/>
      </w:pPr>
      <w:r>
        <w:rPr>
          <w:rFonts w:ascii="Open Sans" w:cs="Open Sans" w:eastAsia="Open Sans" w:hAnsi="Open Sans"/>
          <w:color w:val="333333"/>
          <w:sz w:val="21"/>
          <w:szCs w:val="21"/>
        </w:rPr>
        <w:t xml:space="preserve">An operational body that reviews individual AI systems, conducts risk assessments, and makes deployment recommendations. This board handles the day-to-day evaluation of AI tools proposed for deployment and performs periodic reviews of deployed systems.</w:t>
      </w:r>
    </w:p>
    <w:p>
      <w:pPr>
        <w:spacing w:before="200" w:after="120"/>
      </w:pPr>
      <w:r>
        <w:rPr>
          <w:rFonts w:ascii="Montserrat" w:cs="Montserrat" w:eastAsia="Montserrat" w:hAnsi="Montserrat"/>
          <w:b/>
          <w:bCs/>
          <w:color w:val="0F2A4A"/>
          <w:sz w:val="22"/>
          <w:szCs w:val="22"/>
        </w:rPr>
        <w:t xml:space="preserve">AI System Owners (Operational)</w:t>
      </w:r>
    </w:p>
    <w:p>
      <w:pPr>
        <w:spacing w:after="160" w:line="320"/>
      </w:pPr>
      <w:r>
        <w:rPr>
          <w:rFonts w:ascii="Open Sans" w:cs="Open Sans" w:eastAsia="Open Sans" w:hAnsi="Open Sans"/>
          <w:color w:val="333333"/>
          <w:sz w:val="21"/>
          <w:szCs w:val="21"/>
        </w:rPr>
        <w:t xml:space="preserve">Every AI system in the inventory must have a designated owner responsible for ongoing monitoring, vendor relationship management, and compliance documentation. System owners serve as the primary point of contact for governance activities related to their assigned systems.</w:t>
      </w:r>
    </w:p>
    <w:p>
      <w:pPr>
        <w:pStyle w:val="Heading2"/>
        <w:spacing w:before="280" w:after="160"/>
      </w:pPr>
      <w:r>
        <w:rPr>
          <w:rFonts w:ascii="Montserrat" w:cs="Montserrat" w:eastAsia="Montserrat" w:hAnsi="Montserrat"/>
          <w:b/>
          <w:bCs/>
          <w:color w:val="0D9488"/>
          <w:sz w:val="26"/>
          <w:szCs w:val="26"/>
        </w:rPr>
        <w:t xml:space="preserve">The Chief AI Officer Question</w:t>
      </w:r>
    </w:p>
    <w:p>
      <w:pPr>
        <w:spacing w:after="160" w:line="320"/>
      </w:pPr>
      <w:r>
        <w:rPr>
          <w:rFonts w:ascii="Open Sans" w:cs="Open Sans" w:eastAsia="Open Sans" w:hAnsi="Open Sans"/>
          <w:color w:val="333333"/>
          <w:sz w:val="21"/>
          <w:szCs w:val="21"/>
        </w:rPr>
        <w:t xml:space="preserve">Many healthcare organizations are evaluating whether to create a dedicated Chief AI Officer (CAIO) role. While the right organizational placement depends on each organization’s structure and culture, the critical requirement is that someone — whether a CAIO, the CISO, the CMIO, or another designated leader — has clear accountability for the AI governance program’s success.</w:t>
      </w:r>
    </w:p>
    <w:p>
      <w:r>
        <w:br w:type="page"/>
      </w:r>
    </w:p>
    <w:p>
      <w:pPr>
        <w:pStyle w:val="Heading1"/>
        <w:spacing w:before="360" w:after="200"/>
      </w:pPr>
      <w:r>
        <w:rPr>
          <w:rFonts w:ascii="Montserrat" w:cs="Montserrat" w:eastAsia="Montserrat" w:hAnsi="Montserrat"/>
          <w:b/>
          <w:bCs/>
          <w:color w:val="0F2A4A"/>
          <w:sz w:val="32"/>
          <w:szCs w:val="32"/>
        </w:rPr>
        <w:t xml:space="preserve">The Business Case for AI Governance</w:t>
      </w:r>
    </w:p>
    <w:p>
      <w:pPr>
        <w:spacing w:after="160" w:line="320"/>
      </w:pPr>
      <w:r>
        <w:rPr>
          <w:rFonts w:ascii="Open Sans" w:cs="Open Sans" w:eastAsia="Open Sans" w:hAnsi="Open Sans"/>
          <w:color w:val="333333"/>
          <w:sz w:val="21"/>
          <w:szCs w:val="21"/>
        </w:rPr>
        <w:t xml:space="preserve">AI governance is sometimes perceived as a brake on innovation — adding process and overhead that slows the adoption of beneficial AI tools. In practice, well-designed governance programs produce the opposite effect. They accelerate responsible AI adoption by creating clear pathways that reduce uncertainty and organizational friction.</w:t>
      </w:r>
    </w:p>
    <w:p>
      <w:pPr>
        <w:pStyle w:val="Heading2"/>
        <w:spacing w:before="280" w:after="160"/>
      </w:pPr>
      <w:r>
        <w:rPr>
          <w:rFonts w:ascii="Montserrat" w:cs="Montserrat" w:eastAsia="Montserrat" w:hAnsi="Montserrat"/>
          <w:b/>
          <w:bCs/>
          <w:color w:val="0D9488"/>
          <w:sz w:val="26"/>
          <w:szCs w:val="26"/>
        </w:rPr>
        <w:t xml:space="preserve">Quantifiable Benefits</w:t>
      </w:r>
    </w:p>
    <w:p>
      <w:pPr>
        <w:pStyle w:val="ListParagraph"/>
        <w:numPr>
          <w:ilvl w:val="0"/>
          <w:numId w:val="6"/>
        </w:numPr>
        <w:spacing w:after="100" w:line="320"/>
      </w:pPr>
      <w:r>
        <w:rPr>
          <w:rFonts w:ascii="Open Sans" w:cs="Open Sans" w:eastAsia="Open Sans" w:hAnsi="Open Sans"/>
          <w:b/>
          <w:bCs/>
          <w:color w:val="333333"/>
          <w:sz w:val="21"/>
          <w:szCs w:val="21"/>
        </w:rPr>
        <w:t xml:space="preserve">Reduced regulatory risk: </w:t>
      </w:r>
      <w:r>
        <w:rPr>
          <w:rFonts w:ascii="Open Sans" w:cs="Open Sans" w:eastAsia="Open Sans" w:hAnsi="Open Sans"/>
          <w:color w:val="333333"/>
          <w:sz w:val="21"/>
          <w:szCs w:val="21"/>
        </w:rPr>
        <w:t xml:space="preserve">Organizations with documented governance programs are better positioned to respond to regulatory inquiries and demonstrate compliance, significantly reducing enforcement risk.</w:t>
      </w:r>
    </w:p>
    <w:p>
      <w:pPr>
        <w:pStyle w:val="ListParagraph"/>
        <w:numPr>
          <w:ilvl w:val="0"/>
          <w:numId w:val="6"/>
        </w:numPr>
        <w:spacing w:after="100" w:line="320"/>
      </w:pPr>
      <w:r>
        <w:rPr>
          <w:rFonts w:ascii="Open Sans" w:cs="Open Sans" w:eastAsia="Open Sans" w:hAnsi="Open Sans"/>
          <w:b/>
          <w:bCs/>
          <w:color w:val="333333"/>
          <w:sz w:val="21"/>
          <w:szCs w:val="21"/>
        </w:rPr>
        <w:t xml:space="preserve">Faster AI deployment: </w:t>
      </w:r>
      <w:r>
        <w:rPr>
          <w:rFonts w:ascii="Open Sans" w:cs="Open Sans" w:eastAsia="Open Sans" w:hAnsi="Open Sans"/>
          <w:color w:val="333333"/>
          <w:sz w:val="21"/>
          <w:szCs w:val="21"/>
        </w:rPr>
        <w:t xml:space="preserve">Clear governance pathways eliminate ad hoc approval processes that delay AI implementations. Organizations report 40-60% reductions in AI deployment timelines after implementing structured governance.</w:t>
      </w:r>
    </w:p>
    <w:p>
      <w:pPr>
        <w:pStyle w:val="ListParagraph"/>
        <w:numPr>
          <w:ilvl w:val="0"/>
          <w:numId w:val="6"/>
        </w:numPr>
        <w:spacing w:after="100" w:line="320"/>
      </w:pPr>
      <w:r>
        <w:rPr>
          <w:rFonts w:ascii="Open Sans" w:cs="Open Sans" w:eastAsia="Open Sans" w:hAnsi="Open Sans"/>
          <w:b/>
          <w:bCs/>
          <w:color w:val="333333"/>
          <w:sz w:val="21"/>
          <w:szCs w:val="21"/>
        </w:rPr>
        <w:t xml:space="preserve">Improved vendor negotiating position: </w:t>
      </w:r>
      <w:r>
        <w:rPr>
          <w:rFonts w:ascii="Open Sans" w:cs="Open Sans" w:eastAsia="Open Sans" w:hAnsi="Open Sans"/>
          <w:color w:val="333333"/>
          <w:sz w:val="21"/>
          <w:szCs w:val="21"/>
        </w:rPr>
        <w:t xml:space="preserve">Standardized vendor assessment processes give organizations leverage to require transparency, bias testing results, and contractual performance commitments.</w:t>
      </w:r>
    </w:p>
    <w:p>
      <w:pPr>
        <w:pStyle w:val="ListParagraph"/>
        <w:numPr>
          <w:ilvl w:val="0"/>
          <w:numId w:val="6"/>
        </w:numPr>
        <w:spacing w:after="100" w:line="320"/>
      </w:pPr>
      <w:r>
        <w:rPr>
          <w:rFonts w:ascii="Open Sans" w:cs="Open Sans" w:eastAsia="Open Sans" w:hAnsi="Open Sans"/>
          <w:b/>
          <w:bCs/>
          <w:color w:val="333333"/>
          <w:sz w:val="21"/>
          <w:szCs w:val="21"/>
        </w:rPr>
        <w:t xml:space="preserve">Reduced liability exposure: </w:t>
      </w:r>
      <w:r>
        <w:rPr>
          <w:rFonts w:ascii="Open Sans" w:cs="Open Sans" w:eastAsia="Open Sans" w:hAnsi="Open Sans"/>
          <w:color w:val="333333"/>
          <w:sz w:val="21"/>
          <w:szCs w:val="21"/>
        </w:rPr>
        <w:t xml:space="preserve">Documented governance activities provide strong defense in litigation arising from AI-related adverse outcomes.</w:t>
      </w:r>
    </w:p>
    <w:p>
      <w:pPr>
        <w:pStyle w:val="ListParagraph"/>
        <w:numPr>
          <w:ilvl w:val="0"/>
          <w:numId w:val="6"/>
        </w:numPr>
        <w:spacing w:after="200" w:line="320"/>
      </w:pPr>
      <w:r>
        <w:rPr>
          <w:rFonts w:ascii="Open Sans" w:cs="Open Sans" w:eastAsia="Open Sans" w:hAnsi="Open Sans"/>
          <w:b/>
          <w:bCs/>
          <w:color w:val="333333"/>
          <w:sz w:val="21"/>
          <w:szCs w:val="21"/>
        </w:rPr>
        <w:t xml:space="preserve">Clinician and patient trust: </w:t>
      </w:r>
      <w:r>
        <w:rPr>
          <w:rFonts w:ascii="Open Sans" w:cs="Open Sans" w:eastAsia="Open Sans" w:hAnsi="Open Sans"/>
          <w:color w:val="333333"/>
          <w:sz w:val="21"/>
          <w:szCs w:val="21"/>
        </w:rPr>
        <w:t xml:space="preserve">Transparent governance builds the trust necessary for clinicians to adopt AI tools and for patients to accept AI-influenced care decisions.</w:t>
      </w:r>
    </w:p>
    <w:p>
      <w:r>
        <w:br w:type="page"/>
      </w:r>
    </w:p>
    <w:p>
      <w:pPr>
        <w:pStyle w:val="Heading1"/>
        <w:spacing w:before="360" w:after="200"/>
      </w:pPr>
      <w:r>
        <w:rPr>
          <w:rFonts w:ascii="Montserrat" w:cs="Montserrat" w:eastAsia="Montserrat" w:hAnsi="Montserrat"/>
          <w:b/>
          <w:bCs/>
          <w:color w:val="0F2A4A"/>
          <w:sz w:val="32"/>
          <w:szCs w:val="32"/>
        </w:rPr>
        <w:t xml:space="preserve">Recommendations</w:t>
      </w:r>
    </w:p>
    <w:p>
      <w:pPr>
        <w:spacing w:after="160" w:line="320"/>
      </w:pPr>
      <w:r>
        <w:rPr>
          <w:rFonts w:ascii="Open Sans" w:cs="Open Sans" w:eastAsia="Open Sans" w:hAnsi="Open Sans"/>
          <w:color w:val="333333"/>
          <w:sz w:val="21"/>
          <w:szCs w:val="21"/>
        </w:rPr>
        <w:t xml:space="preserve">Based on the analysis presented in this white paper, Forge Cyber Defense recommends the following actions for healthcare organizations seeking to build or strengthen their AI governance programs:</w:t>
      </w:r>
    </w:p>
    <w:p>
      <w:pPr>
        <w:spacing w:before="200" w:after="120"/>
      </w:pPr>
      <w:r>
        <w:rPr>
          <w:rFonts w:ascii="Montserrat" w:cs="Montserrat" w:eastAsia="Montserrat" w:hAnsi="Montserrat"/>
          <w:b/>
          <w:bCs/>
          <w:color w:val="0F2A4A"/>
          <w:sz w:val="22"/>
          <w:szCs w:val="22"/>
        </w:rPr>
        <w:t xml:space="preserve">Immediate Actions (Next 30 Days)</w:t>
      </w:r>
    </w:p>
    <w:p>
      <w:pPr>
        <w:pStyle w:val="ListParagraph"/>
        <w:numPr>
          <w:ilvl w:val="0"/>
          <w:numId w:val="7"/>
        </w:numPr>
        <w:spacing w:after="100" w:line="320"/>
      </w:pPr>
      <w:r>
        <w:rPr>
          <w:rFonts w:ascii="Open Sans" w:cs="Open Sans" w:eastAsia="Open Sans" w:hAnsi="Open Sans"/>
          <w:color w:val="333333"/>
          <w:sz w:val="21"/>
          <w:szCs w:val="21"/>
        </w:rPr>
        <w:t xml:space="preserve">Conduct a preliminary AI inventory to understand the scope of AI systems currently deployed across the organization</w:t>
      </w:r>
    </w:p>
    <w:p>
      <w:pPr>
        <w:pStyle w:val="ListParagraph"/>
        <w:numPr>
          <w:ilvl w:val="0"/>
          <w:numId w:val="7"/>
        </w:numPr>
        <w:spacing w:after="100" w:line="320"/>
      </w:pPr>
      <w:r>
        <w:rPr>
          <w:rFonts w:ascii="Open Sans" w:cs="Open Sans" w:eastAsia="Open Sans" w:hAnsi="Open Sans"/>
          <w:color w:val="333333"/>
          <w:sz w:val="21"/>
          <w:szCs w:val="21"/>
        </w:rPr>
        <w:t xml:space="preserve">Identify executive sponsorship and designate an AI governance lead</w:t>
      </w:r>
    </w:p>
    <w:p>
      <w:pPr>
        <w:pStyle w:val="ListParagraph"/>
        <w:numPr>
          <w:ilvl w:val="0"/>
          <w:numId w:val="7"/>
        </w:numPr>
        <w:spacing w:after="200" w:line="320"/>
      </w:pPr>
      <w:r>
        <w:rPr>
          <w:rFonts w:ascii="Open Sans" w:cs="Open Sans" w:eastAsia="Open Sans" w:hAnsi="Open Sans"/>
          <w:color w:val="333333"/>
          <w:sz w:val="21"/>
          <w:szCs w:val="21"/>
        </w:rPr>
        <w:t xml:space="preserve">Assess current regulatory exposure across federal, state, and accreditation requirements</w:t>
      </w:r>
    </w:p>
    <w:p>
      <w:pPr>
        <w:spacing w:before="200" w:after="120"/>
      </w:pPr>
      <w:r>
        <w:rPr>
          <w:rFonts w:ascii="Montserrat" w:cs="Montserrat" w:eastAsia="Montserrat" w:hAnsi="Montserrat"/>
          <w:b/>
          <w:bCs/>
          <w:color w:val="0F2A4A"/>
          <w:sz w:val="22"/>
          <w:szCs w:val="22"/>
        </w:rPr>
        <w:t xml:space="preserve">Near-Term Actions (60–90 Days)</w:t>
      </w:r>
    </w:p>
    <w:p>
      <w:pPr>
        <w:pStyle w:val="ListParagraph"/>
        <w:numPr>
          <w:ilvl w:val="0"/>
          <w:numId w:val="8"/>
        </w:numPr>
        <w:spacing w:after="100" w:line="320"/>
      </w:pPr>
      <w:r>
        <w:rPr>
          <w:rFonts w:ascii="Open Sans" w:cs="Open Sans" w:eastAsia="Open Sans" w:hAnsi="Open Sans"/>
          <w:color w:val="333333"/>
          <w:sz w:val="21"/>
          <w:szCs w:val="21"/>
        </w:rPr>
        <w:t xml:space="preserve">Establish an AI Governance Committee with cross-functional representation</w:t>
      </w:r>
    </w:p>
    <w:p>
      <w:pPr>
        <w:pStyle w:val="ListParagraph"/>
        <w:numPr>
          <w:ilvl w:val="0"/>
          <w:numId w:val="8"/>
        </w:numPr>
        <w:spacing w:after="100" w:line="320"/>
      </w:pPr>
      <w:r>
        <w:rPr>
          <w:rFonts w:ascii="Open Sans" w:cs="Open Sans" w:eastAsia="Open Sans" w:hAnsi="Open Sans"/>
          <w:color w:val="333333"/>
          <w:sz w:val="21"/>
          <w:szCs w:val="21"/>
        </w:rPr>
        <w:t xml:space="preserve">Develop and approve foundational AI governance policies</w:t>
      </w:r>
    </w:p>
    <w:p>
      <w:pPr>
        <w:pStyle w:val="ListParagraph"/>
        <w:numPr>
          <w:ilvl w:val="0"/>
          <w:numId w:val="8"/>
        </w:numPr>
        <w:spacing w:after="100" w:line="320"/>
      </w:pPr>
      <w:r>
        <w:rPr>
          <w:rFonts w:ascii="Open Sans" w:cs="Open Sans" w:eastAsia="Open Sans" w:hAnsi="Open Sans"/>
          <w:color w:val="333333"/>
          <w:sz w:val="21"/>
          <w:szCs w:val="21"/>
        </w:rPr>
        <w:t xml:space="preserve">Implement risk assessment processes for the highest-risk AI systems in the inventory</w:t>
      </w:r>
    </w:p>
    <w:p>
      <w:pPr>
        <w:pStyle w:val="ListParagraph"/>
        <w:numPr>
          <w:ilvl w:val="0"/>
          <w:numId w:val="8"/>
        </w:numPr>
        <w:spacing w:after="200" w:line="320"/>
      </w:pPr>
      <w:r>
        <w:rPr>
          <w:rFonts w:ascii="Open Sans" w:cs="Open Sans" w:eastAsia="Open Sans" w:hAnsi="Open Sans"/>
          <w:color w:val="333333"/>
          <w:sz w:val="21"/>
          <w:szCs w:val="21"/>
        </w:rPr>
        <w:t xml:space="preserve">Evaluate AI governance platform solutions to support scaling</w:t>
      </w:r>
    </w:p>
    <w:p>
      <w:pPr>
        <w:spacing w:before="200" w:after="120"/>
      </w:pPr>
      <w:r>
        <w:rPr>
          <w:rFonts w:ascii="Montserrat" w:cs="Montserrat" w:eastAsia="Montserrat" w:hAnsi="Montserrat"/>
          <w:b/>
          <w:bCs/>
          <w:color w:val="0F2A4A"/>
          <w:sz w:val="22"/>
          <w:szCs w:val="22"/>
        </w:rPr>
        <w:t xml:space="preserve">Strategic Actions (6–12 Months)</w:t>
      </w:r>
    </w:p>
    <w:p>
      <w:pPr>
        <w:pStyle w:val="ListParagraph"/>
        <w:numPr>
          <w:ilvl w:val="0"/>
          <w:numId w:val="9"/>
        </w:numPr>
        <w:spacing w:after="100" w:line="320"/>
      </w:pPr>
      <w:r>
        <w:rPr>
          <w:rFonts w:ascii="Open Sans" w:cs="Open Sans" w:eastAsia="Open Sans" w:hAnsi="Open Sans"/>
          <w:color w:val="333333"/>
          <w:sz w:val="21"/>
          <w:szCs w:val="21"/>
        </w:rPr>
        <w:t xml:space="preserve">Deploy a comprehensive AI governance platform with full lifecycle management capabilities</w:t>
      </w:r>
    </w:p>
    <w:p>
      <w:pPr>
        <w:pStyle w:val="ListParagraph"/>
        <w:numPr>
          <w:ilvl w:val="0"/>
          <w:numId w:val="9"/>
        </w:numPr>
        <w:spacing w:after="100" w:line="320"/>
      </w:pPr>
      <w:r>
        <w:rPr>
          <w:rFonts w:ascii="Open Sans" w:cs="Open Sans" w:eastAsia="Open Sans" w:hAnsi="Open Sans"/>
          <w:color w:val="333333"/>
          <w:sz w:val="21"/>
          <w:szCs w:val="21"/>
        </w:rPr>
        <w:t xml:space="preserve">Achieve continuous monitoring coverage across the AI portfolio</w:t>
      </w:r>
    </w:p>
    <w:p>
      <w:pPr>
        <w:pStyle w:val="ListParagraph"/>
        <w:numPr>
          <w:ilvl w:val="0"/>
          <w:numId w:val="9"/>
        </w:numPr>
        <w:spacing w:after="100" w:line="320"/>
      </w:pPr>
      <w:r>
        <w:rPr>
          <w:rFonts w:ascii="Open Sans" w:cs="Open Sans" w:eastAsia="Open Sans" w:hAnsi="Open Sans"/>
          <w:color w:val="333333"/>
          <w:sz w:val="21"/>
          <w:szCs w:val="21"/>
        </w:rPr>
        <w:t xml:space="preserve">Integrate AI governance reporting into enterprise risk management and board-level oversight</w:t>
      </w:r>
    </w:p>
    <w:p>
      <w:pPr>
        <w:pStyle w:val="ListParagraph"/>
        <w:numPr>
          <w:ilvl w:val="0"/>
          <w:numId w:val="9"/>
        </w:numPr>
        <w:spacing w:after="200" w:line="320"/>
      </w:pPr>
      <w:r>
        <w:rPr>
          <w:rFonts w:ascii="Open Sans" w:cs="Open Sans" w:eastAsia="Open Sans" w:hAnsi="Open Sans"/>
          <w:color w:val="333333"/>
          <w:sz w:val="21"/>
          <w:szCs w:val="21"/>
        </w:rPr>
        <w:t xml:space="preserve">Position the organization for emerging regulatory requirements through proactive compliance</w:t>
      </w:r>
    </w:p>
    <w:p>
      <w:r>
        <w:br w:type="page"/>
      </w:r>
    </w:p>
    <w:p>
      <w:pPr>
        <w:pStyle w:val="Heading1"/>
        <w:spacing w:before="360" w:after="200"/>
      </w:pPr>
      <w:r>
        <w:rPr>
          <w:rFonts w:ascii="Montserrat" w:cs="Montserrat" w:eastAsia="Montserrat" w:hAnsi="Montserrat"/>
          <w:b/>
          <w:bCs/>
          <w:color w:val="0F2A4A"/>
          <w:sz w:val="32"/>
          <w:szCs w:val="32"/>
        </w:rPr>
        <w:t xml:space="preserve">About Forge Cyber Defense</w:t>
      </w:r>
    </w:p>
    <w:p>
      <w:pPr>
        <w:spacing w:after="160" w:line="320"/>
      </w:pPr>
      <w:r>
        <w:rPr>
          <w:rFonts w:ascii="Open Sans" w:cs="Open Sans" w:eastAsia="Open Sans" w:hAnsi="Open Sans"/>
          <w:color w:val="333333"/>
          <w:sz w:val="21"/>
          <w:szCs w:val="21"/>
        </w:rPr>
        <w:t xml:space="preserve">Forge Cyber Defense is a Service-Disabled Veteran-Owned Small Business (SDVOSB) specializing in federal compliance consulting, managed security operations, and emerging technology governance. With over 25 years of Department of Defense experience and deep expertise across NIST, FedRAMP, FISMA, CMMC 2.0, and RMF frameworks, Forge brings the rigor of federal compliance to the rapidly evolving challenge of AI governance.</w:t>
      </w:r>
    </w:p>
    <w:p>
      <w:pPr>
        <w:spacing w:after="160" w:line="320"/>
      </w:pPr>
      <w:r>
        <w:rPr>
          <w:rFonts w:ascii="Open Sans" w:cs="Open Sans" w:eastAsia="Open Sans" w:hAnsi="Open Sans"/>
          <w:color w:val="333333"/>
          <w:sz w:val="21"/>
          <w:szCs w:val="21"/>
        </w:rPr>
        <w:t xml:space="preserve">Our approach to AI governance leverages the same systematic methodologies that have enabled us to reduce federal authorization timelines by up to 70% — structured frameworks, multi-framework compliance mapping, and purpose-built automation that scales without sacrificing rigor.</w:t>
      </w:r>
    </w:p>
    <w:p>
      <w:pPr>
        <w:pStyle w:val="Heading2"/>
        <w:spacing w:before="280" w:after="160"/>
      </w:pPr>
      <w:r>
        <w:rPr>
          <w:rFonts w:ascii="Montserrat" w:cs="Montserrat" w:eastAsia="Montserrat" w:hAnsi="Montserrat"/>
          <w:b/>
          <w:bCs/>
          <w:color w:val="0D9488"/>
          <w:sz w:val="26"/>
          <w:szCs w:val="26"/>
        </w:rPr>
        <w:t xml:space="preserve">How Forge Can Help</w:t>
      </w:r>
    </w:p>
    <w:p>
      <w:pPr>
        <w:pStyle w:val="ListParagraph"/>
        <w:numPr>
          <w:ilvl w:val="0"/>
          <w:numId w:val="2"/>
        </w:numPr>
        <w:spacing w:after="100" w:line="320"/>
      </w:pPr>
      <w:r>
        <w:rPr>
          <w:rFonts w:ascii="Open Sans" w:cs="Open Sans" w:eastAsia="Open Sans" w:hAnsi="Open Sans"/>
          <w:b/>
          <w:bCs/>
          <w:color w:val="333333"/>
          <w:sz w:val="21"/>
          <w:szCs w:val="21"/>
        </w:rPr>
        <w:t xml:space="preserve">AI Governance Readiness Assessments: </w:t>
      </w:r>
      <w:r>
        <w:rPr>
          <w:rFonts w:ascii="Open Sans" w:cs="Open Sans" w:eastAsia="Open Sans" w:hAnsi="Open Sans"/>
          <w:color w:val="333333"/>
          <w:sz w:val="21"/>
          <w:szCs w:val="21"/>
        </w:rPr>
        <w:t xml:space="preserve">Comprehensive evaluation of your organization’s current AI governance posture against regulatory requirements and industry best practices</w:t>
      </w:r>
    </w:p>
    <w:p>
      <w:pPr>
        <w:pStyle w:val="ListParagraph"/>
        <w:numPr>
          <w:ilvl w:val="0"/>
          <w:numId w:val="2"/>
        </w:numPr>
        <w:spacing w:after="100" w:line="320"/>
      </w:pPr>
      <w:r>
        <w:rPr>
          <w:rFonts w:ascii="Open Sans" w:cs="Open Sans" w:eastAsia="Open Sans" w:hAnsi="Open Sans"/>
          <w:b/>
          <w:bCs/>
          <w:color w:val="333333"/>
          <w:sz w:val="21"/>
          <w:szCs w:val="21"/>
        </w:rPr>
        <w:t xml:space="preserve">Policy and Framework Development: </w:t>
      </w:r>
      <w:r>
        <w:rPr>
          <w:rFonts w:ascii="Open Sans" w:cs="Open Sans" w:eastAsia="Open Sans" w:hAnsi="Open Sans"/>
          <w:color w:val="333333"/>
          <w:sz w:val="21"/>
          <w:szCs w:val="21"/>
        </w:rPr>
        <w:t xml:space="preserve">Custom AI governance policies, procedures, and assessment frameworks tailored to your regulatory environment and organizational structure</w:t>
      </w:r>
    </w:p>
    <w:p>
      <w:pPr>
        <w:pStyle w:val="ListParagraph"/>
        <w:numPr>
          <w:ilvl w:val="0"/>
          <w:numId w:val="2"/>
        </w:numPr>
        <w:spacing w:after="100" w:line="320"/>
      </w:pPr>
      <w:r>
        <w:rPr>
          <w:rFonts w:ascii="Open Sans" w:cs="Open Sans" w:eastAsia="Open Sans" w:hAnsi="Open Sans"/>
          <w:b/>
          <w:bCs/>
          <w:color w:val="333333"/>
          <w:sz w:val="21"/>
          <w:szCs w:val="21"/>
        </w:rPr>
        <w:t xml:space="preserve">Compliance Platform Implementation: </w:t>
      </w:r>
      <w:r>
        <w:rPr>
          <w:rFonts w:ascii="Open Sans" w:cs="Open Sans" w:eastAsia="Open Sans" w:hAnsi="Open Sans"/>
          <w:color w:val="333333"/>
          <w:sz w:val="21"/>
          <w:szCs w:val="21"/>
        </w:rPr>
        <w:t xml:space="preserve">Deployment and configuration of AI governance technology platforms with multi-framework compliance mapping</w:t>
      </w:r>
    </w:p>
    <w:p>
      <w:pPr>
        <w:pStyle w:val="ListParagraph"/>
        <w:numPr>
          <w:ilvl w:val="0"/>
          <w:numId w:val="2"/>
        </w:numPr>
        <w:spacing w:after="200" w:line="320"/>
      </w:pPr>
      <w:r>
        <w:rPr>
          <w:rFonts w:ascii="Open Sans" w:cs="Open Sans" w:eastAsia="Open Sans" w:hAnsi="Open Sans"/>
          <w:b/>
          <w:bCs/>
          <w:color w:val="333333"/>
          <w:sz w:val="21"/>
          <w:szCs w:val="21"/>
        </w:rPr>
        <w:t xml:space="preserve">Ongoing Advisory Services: </w:t>
      </w:r>
      <w:r>
        <w:rPr>
          <w:rFonts w:ascii="Open Sans" w:cs="Open Sans" w:eastAsia="Open Sans" w:hAnsi="Open Sans"/>
          <w:color w:val="333333"/>
          <w:sz w:val="21"/>
          <w:szCs w:val="21"/>
        </w:rPr>
        <w:t xml:space="preserve">Continuous guidance on regulatory changes, governance program maturation, and emerging AI risk management challenges</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color="FFFFFF" w:sz="0"/>
              <w:bottom w:val="none" w:color="FFFFFF" w:sz="0"/>
              <w:right w:val="none" w:color="FFFFFF" w:sz="0"/>
            </w:tcBorders>
            <w:shd w:fill="F9FAFB" w:val="clear"/>
            <w:tcMar>
              <w:top w:type="dxa" w:w="240"/>
              <w:left w:type="dxa" w:w="240"/>
              <w:bottom w:type="dxa" w:w="240"/>
              <w:right w:type="dxa" w:w="240"/>
            </w:tcMar>
          </w:tcPr>
          <w:p>
            <w:pPr>
              <w:spacing w:after="120"/>
            </w:pPr>
            <w:r>
              <w:rPr>
                <w:rFonts w:ascii="Montserrat" w:cs="Montserrat" w:eastAsia="Montserrat" w:hAnsi="Montserrat"/>
                <w:b/>
                <w:bCs/>
                <w:color w:val="0F2A4A"/>
                <w:spacing w:val="100"/>
                <w:sz w:val="22"/>
                <w:szCs w:val="22"/>
              </w:rPr>
              <w:t xml:space="preserve">SCHEDULE A CONSULTATION</w:t>
            </w:r>
          </w:p>
          <w:p>
            <w:pPr>
              <w:spacing w:after="60"/>
            </w:pPr>
            <w:r>
              <w:rPr>
                <w:rFonts w:ascii="Open Sans" w:cs="Open Sans" w:eastAsia="Open Sans" w:hAnsi="Open Sans"/>
                <w:color w:val="0D9488"/>
                <w:sz w:val="20"/>
                <w:szCs w:val="20"/>
              </w:rPr>
              <w:t xml:space="preserve">www.forgecyberdefense.com</w:t>
            </w:r>
          </w:p>
          <w:p>
            <w:pPr>
              <w:spacing w:after="60"/>
            </w:pPr>
            <w:r>
              <w:rPr>
                <w:rFonts w:ascii="Open Sans" w:cs="Open Sans" w:eastAsia="Open Sans" w:hAnsi="Open Sans"/>
                <w:color w:val="4B5563"/>
                <w:sz w:val="18"/>
                <w:szCs w:val="18"/>
              </w:rPr>
              <w:t xml:space="preserve">North Texas  |  100% U.S.-Based Operations  |  SDVOSB Certified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pen Sans" w:cs="Open Sans" w:eastAsia="Open Sans" w:hAnsi="Open Sans"/>
        <w:color w:val="9CA3AF"/>
        <w:sz w:val="16"/>
        <w:szCs w:val="16"/>
      </w:rPr>
      <w:t xml:space="preserve">Page </w:t>
    </w:r>
    <w:r>
      <w:rPr>
        <w:rFonts w:ascii="Open Sans" w:cs="Open Sans" w:eastAsia="Open Sans" w:hAnsi="Open Sans"/>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pen Sans" w:cs="Open Sans" w:eastAsia="Open Sans" w:hAnsi="Open Sans"/>
        <w:color w:val="9CA3AF"/>
        <w:sz w:val="16"/>
        <w:szCs w:val="16"/>
      </w:rPr>
      <w:t xml:space="preserve">Forge Cyber Defense  |  AI Governance in Healthcare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ontserrat" w:cs="Montserrat" w:eastAsia="Montserrat" w:hAnsi="Montserrat"/>
      <w:b/>
      <w:bCs/>
      <w:color w:val="0F2A4A"/>
      <w:sz w:val="32"/>
      <w:szCs w:val="32"/>
    </w:rPr>
  </w:style>
  <w:style w:type="paragraph" w:styleId="Heading2">
    <w:name w:val="Heading 2"/>
    <w:basedOn w:val="Normal"/>
    <w:next w:val="Normal"/>
    <w:qFormat/>
    <w:pPr>
      <w:spacing w:before="280" w:after="160"/>
      <w:outlineLvl w:val="1"/>
    </w:pPr>
    <w:rPr>
      <w:rFonts w:ascii="Montserrat" w:cs="Montserrat" w:eastAsia="Montserrat" w:hAnsi="Montserrat"/>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2026-02-12T01:02:22.943Z</dcterms:created>
  <dcterms:modified xsi:type="dcterms:W3CDTF">2026-02-12T01:02:22.944Z</dcterms:modified>
</cp:coreProperties>
</file>

<file path=docProps/custom.xml><?xml version="1.0" encoding="utf-8"?>
<Properties xmlns="http://schemas.openxmlformats.org/officeDocument/2006/custom-properties" xmlns:vt="http://schemas.openxmlformats.org/officeDocument/2006/docPropsVTypes"/>
</file>