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56"/>
          <w:szCs w:val="56"/>
        </w:rPr>
        <w:t xml:space="preserve">ForgeAI Govern™</w:t>
      </w:r>
    </w:p>
    <w:p>
      <w:pPr>
        <w:spacing w:after="200"/>
        <w:jc w:val="center"/>
      </w:pPr>
      <w:r>
        <w:rPr>
          <w:rFonts w:ascii="Arial" w:cs="Arial" w:eastAsia="Arial" w:hAnsi="Arial"/>
          <w:color w:val="2E75B6"/>
          <w:sz w:val="36"/>
          <w:szCs w:val="36"/>
        </w:rPr>
        <w:t xml:space="preserve">Customer &amp; Employee Support Additions</w:t>
      </w:r>
    </w:p>
    <w:p>
      <w:pPr>
        <w:spacing w:after="600"/>
        <w:jc w:val="center"/>
      </w:pPr>
      <w:r>
        <w:rPr>
          <w:rFonts w:ascii="Arial" w:cs="Arial" w:eastAsia="Arial" w:hAnsi="Arial"/>
          <w:color w:val="555555"/>
          <w:sz w:val="24"/>
          <w:szCs w:val="24"/>
        </w:rPr>
        <w:t xml:space="preserve">What to Add to the Platform to Support Healthcare Clients and Your Team</w:t>
      </w:r>
    </w:p>
    <w:p>
      <w:pPr>
        <w:jc w:val="center"/>
      </w:pPr>
      <w:r>
        <w:rPr>
          <w:rFonts w:ascii="Arial" w:cs="Arial" w:eastAsia="Arial" w:hAnsi="Arial"/>
          <w:color w:val="666666"/>
          <w:sz w:val="22"/>
          <w:szCs w:val="22"/>
        </w:rPr>
        <w:t xml:space="preserve">February 2026</w:t>
      </w:r>
    </w:p>
    <w:p>
      <w:r>
        <w:br w:type="page"/>
      </w:r>
    </w:p>
    <w:p>
      <w:pPr>
        <w:pStyle w:val="Heading1"/>
      </w:pPr>
      <w:r>
        <w:rPr>
          <w:rFonts w:ascii="Arial" w:cs="Arial" w:eastAsia="Arial" w:hAnsi="Arial"/>
        </w:rPr>
        <w:t xml:space="preserve">Part A: Customer-Facing Additions</w:t>
      </w:r>
    </w:p>
    <w:p>
      <w:pPr>
        <w:spacing w:after="120"/>
      </w:pPr>
      <w:r>
        <w:rPr>
          <w:rFonts w:ascii="Arial" w:cs="Arial" w:eastAsia="Arial" w:hAnsi="Arial"/>
          <w:sz w:val="22"/>
          <w:szCs w:val="22"/>
        </w:rPr>
        <w:t xml:space="preserve">These additions are designed to help your healthcare clients adopt the platform faster, get more value from it, and stay engaged long-term. They are organized from highest to lowest impact.</w:t>
      </w:r>
    </w:p>
    <w:p>
      <w:pPr>
        <w:pStyle w:val="Heading2"/>
      </w:pPr>
      <w:r>
        <w:rPr>
          <w:rFonts w:ascii="Arial" w:cs="Arial" w:eastAsia="Arial" w:hAnsi="Arial"/>
        </w:rPr>
        <w:t xml:space="preserve">1. Guided Onboarding &amp; Implementation Wizard</w:t>
      </w:r>
    </w:p>
    <w:p>
      <w:pPr>
        <w:spacing w:after="120"/>
      </w:pPr>
      <w:r>
        <w:rPr>
          <w:rFonts w:ascii="Arial" w:cs="Arial" w:eastAsia="Arial" w:hAnsi="Arial"/>
          <w:sz w:val="22"/>
          <w:szCs w:val="22"/>
        </w:rPr>
        <w:t xml:space="preserve">Healthcare organizations are notoriously slow to adopt new platforms. A structured onboarding flow built into the product removes friction and accelerates time-to-value.</w:t>
      </w:r>
    </w:p>
    <w:p>
      <w:pPr>
        <w:pStyle w:val="Heading3"/>
      </w:pPr>
      <w:r>
        <w:rPr>
          <w:rFonts w:ascii="Arial" w:cs="Arial" w:eastAsia="Arial" w:hAnsi="Arial"/>
        </w:rPr>
        <w:t xml:space="preserve">What to Build</w:t>
      </w:r>
    </w:p>
    <w:p>
      <w:pPr>
        <w:pStyle w:val="ListParagraph"/>
        <w:numPr>
          <w:ilvl w:val="0"/>
          <w:numId w:val="2"/>
        </w:numPr>
        <w:spacing w:after="80"/>
      </w:pPr>
      <w:r>
        <w:rPr>
          <w:rFonts w:ascii="Arial" w:cs="Arial" w:eastAsia="Arial" w:hAnsi="Arial"/>
          <w:b/>
          <w:bCs/>
          <w:sz w:val="22"/>
          <w:szCs w:val="22"/>
        </w:rPr>
        <w:t xml:space="preserve">Step-by-Step Setup Wizard: </w:t>
      </w:r>
      <w:r>
        <w:rPr>
          <w:rFonts w:ascii="Arial" w:cs="Arial" w:eastAsia="Arial" w:hAnsi="Arial"/>
          <w:sz w:val="22"/>
          <w:szCs w:val="22"/>
        </w:rPr>
        <w:t xml:space="preserve">Walk new tenants through: creating their first AI asset, running an initial risk assessment, mapping their first compliance controls, and inviting team members with the right roles.</w:t>
      </w:r>
    </w:p>
    <w:p>
      <w:pPr>
        <w:pStyle w:val="ListParagraph"/>
        <w:numPr>
          <w:ilvl w:val="0"/>
          <w:numId w:val="2"/>
        </w:numPr>
        <w:spacing w:after="80"/>
      </w:pPr>
      <w:r>
        <w:rPr>
          <w:rFonts w:ascii="Arial" w:cs="Arial" w:eastAsia="Arial" w:hAnsi="Arial"/>
          <w:b/>
          <w:bCs/>
          <w:sz w:val="22"/>
          <w:szCs w:val="22"/>
        </w:rPr>
        <w:t xml:space="preserve">Progress Tracker: </w:t>
      </w:r>
      <w:r>
        <w:rPr>
          <w:rFonts w:ascii="Arial" w:cs="Arial" w:eastAsia="Arial" w:hAnsi="Arial"/>
          <w:sz w:val="22"/>
          <w:szCs w:val="22"/>
        </w:rPr>
        <w:t xml:space="preserve">A visible “governance readiness” checklist on the dashboard showing what’s been completed (e.g., “4 of 8 setup steps done — next: complete your first risk assessment”).</w:t>
      </w:r>
    </w:p>
    <w:p>
      <w:pPr>
        <w:pStyle w:val="ListParagraph"/>
        <w:numPr>
          <w:ilvl w:val="0"/>
          <w:numId w:val="2"/>
        </w:numPr>
        <w:spacing w:after="80"/>
      </w:pPr>
      <w:r>
        <w:rPr>
          <w:rFonts w:ascii="Arial" w:cs="Arial" w:eastAsia="Arial" w:hAnsi="Arial"/>
          <w:b/>
          <w:bCs/>
          <w:sz w:val="22"/>
          <w:szCs w:val="22"/>
        </w:rPr>
        <w:t xml:space="preserve">Pre-Built Templates: </w:t>
      </w:r>
      <w:r>
        <w:rPr>
          <w:rFonts w:ascii="Arial" w:cs="Arial" w:eastAsia="Arial" w:hAnsi="Arial"/>
          <w:sz w:val="22"/>
          <w:szCs w:val="22"/>
        </w:rPr>
        <w:t xml:space="preserve">Offer starter templates for common healthcare AI systems — clinical decision support, diagnostic imaging, NLP extraction — with pre-filled risk dimensions and suggested controls. This eliminates the blank-page problem.</w:t>
      </w:r>
    </w:p>
    <w:p>
      <w:pPr>
        <w:pStyle w:val="ListParagraph"/>
        <w:numPr>
          <w:ilvl w:val="0"/>
          <w:numId w:val="2"/>
        </w:numPr>
        <w:spacing w:after="80"/>
      </w:pPr>
      <w:r>
        <w:rPr>
          <w:rFonts w:ascii="Arial" w:cs="Arial" w:eastAsia="Arial" w:hAnsi="Arial"/>
          <w:b/>
          <w:bCs/>
          <w:sz w:val="22"/>
          <w:szCs w:val="22"/>
        </w:rPr>
        <w:t xml:space="preserve">Sample Data Mode: </w:t>
      </w:r>
      <w:r>
        <w:rPr>
          <w:rFonts w:ascii="Arial" w:cs="Arial" w:eastAsia="Arial" w:hAnsi="Arial"/>
          <w:sz w:val="22"/>
          <w:szCs w:val="22"/>
        </w:rPr>
        <w:t xml:space="preserve">Let new tenants explore the platform with realistic demo data (a fictional health system with 10 AI assets, completed assessments, and monitoring metrics) before they start entering their own.</w:t>
      </w:r>
    </w:p>
    <w:p>
      <w:pPr>
        <w:pStyle w:val="Heading2"/>
      </w:pPr>
      <w:r>
        <w:rPr>
          <w:rFonts w:ascii="Arial" w:cs="Arial" w:eastAsia="Arial" w:hAnsi="Arial"/>
        </w:rPr>
        <w:t xml:space="preserve">2. Customer Knowledge Base &amp; Help Center</w:t>
      </w:r>
    </w:p>
    <w:p>
      <w:pPr>
        <w:spacing w:after="120"/>
      </w:pPr>
      <w:r>
        <w:rPr>
          <w:rFonts w:ascii="Arial" w:cs="Arial" w:eastAsia="Arial" w:hAnsi="Arial"/>
          <w:sz w:val="22"/>
          <w:szCs w:val="22"/>
        </w:rPr>
        <w:t xml:space="preserve">A self-service knowledge hub reduces support tickets and helps governance teams work independently.</w:t>
      </w:r>
    </w:p>
    <w:p>
      <w:pPr>
        <w:pStyle w:val="Heading3"/>
      </w:pPr>
      <w:r>
        <w:rPr>
          <w:rFonts w:ascii="Arial" w:cs="Arial" w:eastAsia="Arial" w:hAnsi="Arial"/>
        </w:rPr>
        <w:t xml:space="preserve">What to Build</w:t>
      </w:r>
    </w:p>
    <w:p>
      <w:pPr>
        <w:pStyle w:val="ListParagraph"/>
        <w:numPr>
          <w:ilvl w:val="0"/>
          <w:numId w:val="2"/>
        </w:numPr>
        <w:spacing w:after="80"/>
      </w:pPr>
      <w:r>
        <w:rPr>
          <w:rFonts w:ascii="Arial" w:cs="Arial" w:eastAsia="Arial" w:hAnsi="Arial"/>
          <w:b/>
          <w:bCs/>
          <w:sz w:val="22"/>
          <w:szCs w:val="22"/>
        </w:rPr>
        <w:t xml:space="preserve">Regulatory Guides: </w:t>
      </w:r>
      <w:r>
        <w:rPr>
          <w:rFonts w:ascii="Arial" w:cs="Arial" w:eastAsia="Arial" w:hAnsi="Arial"/>
          <w:sz w:val="22"/>
          <w:szCs w:val="22"/>
        </w:rPr>
        <w:t xml:space="preserve">Plain-language explainers for each framework the platform covers — “What NIST AI RMF Means for Your Health System,” “FDA SaMD Classification in 5 Minutes,” “Colorado AI Act: What’s Required by February 2026.”</w:t>
      </w:r>
    </w:p>
    <w:p>
      <w:pPr>
        <w:pStyle w:val="ListParagraph"/>
        <w:numPr>
          <w:ilvl w:val="0"/>
          <w:numId w:val="2"/>
        </w:numPr>
        <w:spacing w:after="80"/>
      </w:pPr>
      <w:r>
        <w:rPr>
          <w:rFonts w:ascii="Arial" w:cs="Arial" w:eastAsia="Arial" w:hAnsi="Arial"/>
          <w:b/>
          <w:bCs/>
          <w:sz w:val="22"/>
          <w:szCs w:val="22"/>
        </w:rPr>
        <w:t xml:space="preserve">How-To Articles: </w:t>
      </w:r>
      <w:r>
        <w:rPr>
          <w:rFonts w:ascii="Arial" w:cs="Arial" w:eastAsia="Arial" w:hAnsi="Arial"/>
          <w:sz w:val="22"/>
          <w:szCs w:val="22"/>
        </w:rPr>
        <w:t xml:space="preserve">Step-by-step guides for every major workflow: registering an asset, scoring a risk assessment, running an algorithmic impact assessment, interpreting monitoring alerts.</w:t>
      </w:r>
    </w:p>
    <w:p>
      <w:pPr>
        <w:pStyle w:val="ListParagraph"/>
        <w:numPr>
          <w:ilvl w:val="0"/>
          <w:numId w:val="2"/>
        </w:numPr>
        <w:spacing w:after="80"/>
      </w:pPr>
      <w:r>
        <w:rPr>
          <w:rFonts w:ascii="Arial" w:cs="Arial" w:eastAsia="Arial" w:hAnsi="Arial"/>
          <w:b/>
          <w:bCs/>
          <w:sz w:val="22"/>
          <w:szCs w:val="22"/>
        </w:rPr>
        <w:t xml:space="preserve">Video Walkthroughs: </w:t>
      </w:r>
      <w:r>
        <w:rPr>
          <w:rFonts w:ascii="Arial" w:cs="Arial" w:eastAsia="Arial" w:hAnsi="Arial"/>
          <w:sz w:val="22"/>
          <w:szCs w:val="22"/>
        </w:rPr>
        <w:t xml:space="preserve">Short (2–5 minute) screen recordings for each module. Governance leads can share these with clinical champions who need to understand the platform without a full training session.</w:t>
      </w:r>
    </w:p>
    <w:p>
      <w:pPr>
        <w:pStyle w:val="ListParagraph"/>
        <w:numPr>
          <w:ilvl w:val="0"/>
          <w:numId w:val="2"/>
        </w:numPr>
        <w:spacing w:after="80"/>
      </w:pPr>
      <w:r>
        <w:rPr>
          <w:rFonts w:ascii="Arial" w:cs="Arial" w:eastAsia="Arial" w:hAnsi="Arial"/>
          <w:b/>
          <w:bCs/>
          <w:sz w:val="22"/>
          <w:szCs w:val="22"/>
        </w:rPr>
        <w:t xml:space="preserve">FAQ / Troubleshooting: </w:t>
      </w:r>
      <w:r>
        <w:rPr>
          <w:rFonts w:ascii="Arial" w:cs="Arial" w:eastAsia="Arial" w:hAnsi="Arial"/>
          <w:sz w:val="22"/>
          <w:szCs w:val="22"/>
        </w:rPr>
        <w:t xml:space="preserve">Common questions organized by role (admin, governance lead, reviewer, viewer) and by module.</w:t>
      </w:r>
    </w:p>
    <w:p>
      <w:pPr>
        <w:pStyle w:val="ListParagraph"/>
        <w:numPr>
          <w:ilvl w:val="0"/>
          <w:numId w:val="2"/>
        </w:numPr>
        <w:spacing w:after="80"/>
      </w:pPr>
      <w:r>
        <w:rPr>
          <w:rFonts w:ascii="Arial" w:cs="Arial" w:eastAsia="Arial" w:hAnsi="Arial"/>
          <w:b/>
          <w:bCs/>
          <w:sz w:val="22"/>
          <w:szCs w:val="22"/>
        </w:rPr>
        <w:t xml:space="preserve">Regulatory Update Feed: </w:t>
      </w:r>
      <w:r>
        <w:rPr>
          <w:rFonts w:ascii="Arial" w:cs="Arial" w:eastAsia="Arial" w:hAnsi="Arial"/>
          <w:sz w:val="22"/>
          <w:szCs w:val="22"/>
        </w:rPr>
        <w:t xml:space="preserve">A continuously updated section tracking changes to regulations that affect the platform — new state laws, FDA guidance updates, NIST revisions. This positions you as a trusted advisor, not just a tool vendor.</w:t>
      </w:r>
    </w:p>
    <w:p>
      <w:pPr>
        <w:pStyle w:val="Heading2"/>
      </w:pPr>
      <w:r>
        <w:rPr>
          <w:rFonts w:ascii="Arial" w:cs="Arial" w:eastAsia="Arial" w:hAnsi="Arial"/>
        </w:rPr>
        <w:t xml:space="preserve">3. In-App Contextual Help &amp; Tooltips</w:t>
      </w:r>
    </w:p>
    <w:p>
      <w:pPr>
        <w:spacing w:after="120"/>
      </w:pPr>
      <w:r>
        <w:rPr>
          <w:rFonts w:ascii="Arial" w:cs="Arial" w:eastAsia="Arial" w:hAnsi="Arial"/>
          <w:sz w:val="22"/>
          <w:szCs w:val="22"/>
        </w:rPr>
        <w:t xml:space="preserve">Healthcare governance teams are not software power users. Contextual guidance inside the application reduces the learning curve significantly.</w:t>
      </w:r>
    </w:p>
    <w:p>
      <w:pPr>
        <w:pStyle w:val="ListParagraph"/>
        <w:numPr>
          <w:ilvl w:val="0"/>
          <w:numId w:val="2"/>
        </w:numPr>
        <w:spacing w:after="80"/>
      </w:pPr>
      <w:r>
        <w:rPr>
          <w:rFonts w:ascii="Arial" w:cs="Arial" w:eastAsia="Arial" w:hAnsi="Arial"/>
          <w:b/>
          <w:bCs/>
          <w:sz w:val="22"/>
          <w:szCs w:val="22"/>
        </w:rPr>
        <w:t xml:space="preserve">Field-Level Tooltips: </w:t>
      </w:r>
      <w:r>
        <w:rPr>
          <w:rFonts w:ascii="Arial" w:cs="Arial" w:eastAsia="Arial" w:hAnsi="Arial"/>
          <w:sz w:val="22"/>
          <w:szCs w:val="22"/>
        </w:rPr>
        <w:t xml:space="preserve">Every form field in the risk assessment, impact assessment, and vendor assessment should have an information icon with guidance on what to enter and why it matters. For example, the “patient_safety_score” field should explain: “Rate 1–5 based on the potential for this AI system to directly affect patient care outcomes. 5 = direct life safety impact.”</w:t>
      </w:r>
    </w:p>
    <w:p>
      <w:pPr>
        <w:pStyle w:val="ListParagraph"/>
        <w:numPr>
          <w:ilvl w:val="0"/>
          <w:numId w:val="2"/>
        </w:numPr>
        <w:spacing w:after="80"/>
      </w:pPr>
      <w:r>
        <w:rPr>
          <w:rFonts w:ascii="Arial" w:cs="Arial" w:eastAsia="Arial" w:hAnsi="Arial"/>
          <w:b/>
          <w:bCs/>
          <w:sz w:val="22"/>
          <w:szCs w:val="22"/>
        </w:rPr>
        <w:t xml:space="preserve">Compliance Guidance Panels: </w:t>
      </w:r>
      <w:r>
        <w:rPr>
          <w:rFonts w:ascii="Arial" w:cs="Arial" w:eastAsia="Arial" w:hAnsi="Arial"/>
          <w:sz w:val="22"/>
          <w:szCs w:val="22"/>
        </w:rPr>
        <w:t xml:space="preserve">When a user is viewing a control mapping, show a sidebar explaining the regulatory requirement in plain language, with links to the source regulation.</w:t>
      </w:r>
    </w:p>
    <w:p>
      <w:pPr>
        <w:pStyle w:val="ListParagraph"/>
        <w:numPr>
          <w:ilvl w:val="0"/>
          <w:numId w:val="2"/>
        </w:numPr>
        <w:spacing w:after="80"/>
      </w:pPr>
      <w:r>
        <w:rPr>
          <w:rFonts w:ascii="Arial" w:cs="Arial" w:eastAsia="Arial" w:hAnsi="Arial"/>
          <w:b/>
          <w:bCs/>
          <w:sz w:val="22"/>
          <w:szCs w:val="22"/>
        </w:rPr>
        <w:t xml:space="preserve">AI-Powered Assistant: </w:t>
      </w:r>
      <w:r>
        <w:rPr>
          <w:rFonts w:ascii="Arial" w:cs="Arial" w:eastAsia="Arial" w:hAnsi="Arial"/>
          <w:sz w:val="22"/>
          <w:szCs w:val="22"/>
        </w:rPr>
        <w:t xml:space="preserve">Embed an AI chatbot (powered by Claude or similar) trained on your regulatory crosswalk and help documentation. Users can ask questions like “What do I need to do to comply with ONC HTI-1 for my diagnostic imaging system?” and get contextual answers.</w:t>
      </w:r>
    </w:p>
    <w:p>
      <w:pPr>
        <w:pStyle w:val="Heading2"/>
      </w:pPr>
      <w:r>
        <w:rPr>
          <w:rFonts w:ascii="Arial" w:cs="Arial" w:eastAsia="Arial" w:hAnsi="Arial"/>
        </w:rPr>
        <w:t xml:space="preserve">4. Audit-Ready Report Generation</w:t>
      </w:r>
    </w:p>
    <w:p>
      <w:pPr>
        <w:spacing w:after="120"/>
      </w:pPr>
      <w:r>
        <w:rPr>
          <w:rFonts w:ascii="Arial" w:cs="Arial" w:eastAsia="Arial" w:hAnsi="Arial"/>
          <w:sz w:val="22"/>
          <w:szCs w:val="22"/>
        </w:rPr>
        <w:t xml:space="preserve">This is consistently one of the highest-value features in the governance platform market. Boards, regulators, and auditors don’t log into dashboards — they want documents.</w:t>
      </w:r>
    </w:p>
    <w:p>
      <w:pPr>
        <w:pStyle w:val="Heading3"/>
      </w:pPr>
      <w:r>
        <w:rPr>
          <w:rFonts w:ascii="Arial" w:cs="Arial" w:eastAsia="Arial" w:hAnsi="Arial"/>
        </w:rPr>
        <w:t xml:space="preserve">Reports to Build</w:t>
      </w:r>
    </w:p>
    <w:p>
      <w:pPr>
        <w:pStyle w:val="ListParagraph"/>
        <w:numPr>
          <w:ilvl w:val="0"/>
          <w:numId w:val="2"/>
        </w:numPr>
        <w:spacing w:after="80"/>
      </w:pPr>
      <w:r>
        <w:rPr>
          <w:rFonts w:ascii="Arial" w:cs="Arial" w:eastAsia="Arial" w:hAnsi="Arial"/>
          <w:b/>
          <w:bCs/>
          <w:sz w:val="22"/>
          <w:szCs w:val="22"/>
        </w:rPr>
        <w:t xml:space="preserve">Board-Ready Executive Summary: </w:t>
      </w:r>
      <w:r>
        <w:rPr>
          <w:rFonts w:ascii="Arial" w:cs="Arial" w:eastAsia="Arial" w:hAnsi="Arial"/>
          <w:sz w:val="22"/>
          <w:szCs w:val="22"/>
        </w:rPr>
        <w:t xml:space="preserve">One-page PDF with maturity score, compliance percentage, risk distribution chart, and top 3 action items. Designed for quarterly board presentations.</w:t>
      </w:r>
    </w:p>
    <w:p>
      <w:pPr>
        <w:pStyle w:val="ListParagraph"/>
        <w:numPr>
          <w:ilvl w:val="0"/>
          <w:numId w:val="2"/>
        </w:numPr>
        <w:spacing w:after="80"/>
      </w:pPr>
      <w:r>
        <w:rPr>
          <w:rFonts w:ascii="Arial" w:cs="Arial" w:eastAsia="Arial" w:hAnsi="Arial"/>
          <w:b/>
          <w:bCs/>
          <w:sz w:val="22"/>
          <w:szCs w:val="22"/>
        </w:rPr>
        <w:t xml:space="preserve">Regulatory Compliance Pack: </w:t>
      </w:r>
      <w:r>
        <w:rPr>
          <w:rFonts w:ascii="Arial" w:cs="Arial" w:eastAsia="Arial" w:hAnsi="Arial"/>
          <w:sz w:val="22"/>
          <w:szCs w:val="22"/>
        </w:rPr>
        <w:t xml:space="preserve">Per-framework audit package — select “NIST AI RMF” and generate a document showing every control, its implementation status, evidence links, and gaps. Auditors can consume this directly.</w:t>
      </w:r>
    </w:p>
    <w:p>
      <w:pPr>
        <w:pStyle w:val="ListParagraph"/>
        <w:numPr>
          <w:ilvl w:val="0"/>
          <w:numId w:val="2"/>
        </w:numPr>
        <w:spacing w:after="80"/>
      </w:pPr>
      <w:r>
        <w:rPr>
          <w:rFonts w:ascii="Arial" w:cs="Arial" w:eastAsia="Arial" w:hAnsi="Arial"/>
          <w:b/>
          <w:bCs/>
          <w:sz w:val="22"/>
          <w:szCs w:val="22"/>
        </w:rPr>
        <w:t xml:space="preserve">AI Asset Profile Sheet: </w:t>
      </w:r>
      <w:r>
        <w:rPr>
          <w:rFonts w:ascii="Arial" w:cs="Arial" w:eastAsia="Arial" w:hAnsi="Arial"/>
          <w:sz w:val="22"/>
          <w:szCs w:val="22"/>
        </w:rPr>
        <w:t xml:space="preserve">Per-asset document with full lifecycle details: risk history, impact assessments, compliance status, monitoring trends, and incident history. Useful for FDA submissions and Joint Commission reviews.</w:t>
      </w:r>
    </w:p>
    <w:p>
      <w:pPr>
        <w:pStyle w:val="ListParagraph"/>
        <w:numPr>
          <w:ilvl w:val="0"/>
          <w:numId w:val="2"/>
        </w:numPr>
        <w:spacing w:after="80"/>
      </w:pPr>
      <w:r>
        <w:rPr>
          <w:rFonts w:ascii="Arial" w:cs="Arial" w:eastAsia="Arial" w:hAnsi="Arial"/>
          <w:b/>
          <w:bCs/>
          <w:sz w:val="22"/>
          <w:szCs w:val="22"/>
        </w:rPr>
        <w:t xml:space="preserve">Vendor Risk Report: </w:t>
      </w:r>
      <w:r>
        <w:rPr>
          <w:rFonts w:ascii="Arial" w:cs="Arial" w:eastAsia="Arial" w:hAnsi="Arial"/>
          <w:sz w:val="22"/>
          <w:szCs w:val="22"/>
        </w:rPr>
        <w:t xml:space="preserve">Summary of all vendor assessments with risk scores, conditions, and reassessment dates. Procurement and legal teams need this.</w:t>
      </w:r>
    </w:p>
    <w:p>
      <w:pPr>
        <w:pStyle w:val="ListParagraph"/>
        <w:numPr>
          <w:ilvl w:val="0"/>
          <w:numId w:val="2"/>
        </w:numPr>
        <w:spacing w:after="80"/>
      </w:pPr>
      <w:r>
        <w:rPr>
          <w:rFonts w:ascii="Arial" w:cs="Arial" w:eastAsia="Arial" w:hAnsi="Arial"/>
          <w:b/>
          <w:bCs/>
          <w:sz w:val="22"/>
          <w:szCs w:val="22"/>
        </w:rPr>
        <w:t xml:space="preserve">Incident Post-Mortem: </w:t>
      </w:r>
      <w:r>
        <w:rPr>
          <w:rFonts w:ascii="Arial" w:cs="Arial" w:eastAsia="Arial" w:hAnsi="Arial"/>
          <w:sz w:val="22"/>
          <w:szCs w:val="22"/>
        </w:rPr>
        <w:t xml:space="preserve">Structured report template for resolved incidents: timeline, root cause, corrective actions, and preventive measures.</w:t>
      </w:r>
    </w:p>
    <w:p>
      <w:pPr>
        <w:pStyle w:val="Heading2"/>
      </w:pPr>
      <w:r>
        <w:rPr>
          <w:rFonts w:ascii="Arial" w:cs="Arial" w:eastAsia="Arial" w:hAnsi="Arial"/>
        </w:rPr>
        <w:t xml:space="preserve">5. Customer Self-Service Portal</w:t>
      </w:r>
    </w:p>
    <w:p>
      <w:pPr>
        <w:pStyle w:val="ListParagraph"/>
        <w:numPr>
          <w:ilvl w:val="0"/>
          <w:numId w:val="2"/>
        </w:numPr>
        <w:spacing w:after="80"/>
      </w:pPr>
      <w:r>
        <w:rPr>
          <w:rFonts w:ascii="Arial" w:cs="Arial" w:eastAsia="Arial" w:hAnsi="Arial"/>
          <w:b/>
          <w:bCs/>
          <w:sz w:val="22"/>
          <w:szCs w:val="22"/>
        </w:rPr>
        <w:t xml:space="preserve">Account Management: </w:t>
      </w:r>
      <w:r>
        <w:rPr>
          <w:rFonts w:ascii="Arial" w:cs="Arial" w:eastAsia="Arial" w:hAnsi="Arial"/>
          <w:sz w:val="22"/>
          <w:szCs w:val="22"/>
        </w:rPr>
        <w:t xml:space="preserve">Let admins manage their own users, roles, and tenant settings without contacting your support team.</w:t>
      </w:r>
    </w:p>
    <w:p>
      <w:pPr>
        <w:pStyle w:val="ListParagraph"/>
        <w:numPr>
          <w:ilvl w:val="0"/>
          <w:numId w:val="2"/>
        </w:numPr>
        <w:spacing w:after="80"/>
      </w:pPr>
      <w:r>
        <w:rPr>
          <w:rFonts w:ascii="Arial" w:cs="Arial" w:eastAsia="Arial" w:hAnsi="Arial"/>
          <w:b/>
          <w:bCs/>
          <w:sz w:val="22"/>
          <w:szCs w:val="22"/>
        </w:rPr>
        <w:t xml:space="preserve">Billing &amp; Usage Dashboard: </w:t>
      </w:r>
      <w:r>
        <w:rPr>
          <w:rFonts w:ascii="Arial" w:cs="Arial" w:eastAsia="Arial" w:hAnsi="Arial"/>
          <w:sz w:val="22"/>
          <w:szCs w:val="22"/>
        </w:rPr>
        <w:t xml:space="preserve">Transparent view of their plan, usage metrics (number of AI assets, assessments, users), and upgrade path.</w:t>
      </w:r>
    </w:p>
    <w:p>
      <w:pPr>
        <w:pStyle w:val="ListParagraph"/>
        <w:numPr>
          <w:ilvl w:val="0"/>
          <w:numId w:val="2"/>
        </w:numPr>
        <w:spacing w:after="80"/>
      </w:pPr>
      <w:r>
        <w:rPr>
          <w:rFonts w:ascii="Arial" w:cs="Arial" w:eastAsia="Arial" w:hAnsi="Arial"/>
          <w:b/>
          <w:bCs/>
          <w:sz w:val="22"/>
          <w:szCs w:val="22"/>
        </w:rPr>
        <w:t xml:space="preserve">Support Ticket System: </w:t>
      </w:r>
      <w:r>
        <w:rPr>
          <w:rFonts w:ascii="Arial" w:cs="Arial" w:eastAsia="Arial" w:hAnsi="Arial"/>
          <w:sz w:val="22"/>
          <w:szCs w:val="22"/>
        </w:rPr>
        <w:t xml:space="preserve">Integrated ticketing so customers can report issues, request features, and track resolution — all within the platform.</w:t>
      </w:r>
    </w:p>
    <w:p>
      <w:pPr>
        <w:pStyle w:val="ListParagraph"/>
        <w:numPr>
          <w:ilvl w:val="0"/>
          <w:numId w:val="2"/>
        </w:numPr>
        <w:spacing w:after="80"/>
      </w:pPr>
      <w:r>
        <w:rPr>
          <w:rFonts w:ascii="Arial" w:cs="Arial" w:eastAsia="Arial" w:hAnsi="Arial"/>
          <w:b/>
          <w:bCs/>
          <w:sz w:val="22"/>
          <w:szCs w:val="22"/>
        </w:rPr>
        <w:t xml:space="preserve">Feature Request Voting: </w:t>
      </w:r>
      <w:r>
        <w:rPr>
          <w:rFonts w:ascii="Arial" w:cs="Arial" w:eastAsia="Arial" w:hAnsi="Arial"/>
          <w:sz w:val="22"/>
          <w:szCs w:val="22"/>
        </w:rPr>
        <w:t xml:space="preserve">Let customers vote on upcoming features. This gives you product direction signal and makes customers feel invested in the roadmap.</w:t>
      </w:r>
    </w:p>
    <w:p>
      <w:pPr>
        <w:pStyle w:val="Heading2"/>
      </w:pPr>
      <w:r>
        <w:rPr>
          <w:rFonts w:ascii="Arial" w:cs="Arial" w:eastAsia="Arial" w:hAnsi="Arial"/>
        </w:rPr>
        <w:t xml:space="preserve">6. ForgeAI Academy — Customer Training &amp; Certification</w:t>
      </w:r>
    </w:p>
    <w:p>
      <w:pPr>
        <w:spacing w:after="120"/>
      </w:pPr>
      <w:r>
        <w:rPr>
          <w:rFonts w:ascii="Arial" w:cs="Arial" w:eastAsia="Arial" w:hAnsi="Arial"/>
          <w:sz w:val="22"/>
          <w:szCs w:val="22"/>
        </w:rPr>
        <w:t xml:space="preserve">Leading governance platforms (Credo AI, Collibra, Atlan) all offer customer education programs. This drives adoption, reduces churn, and creates a community.</w:t>
      </w:r>
    </w:p>
    <w:p>
      <w:pPr>
        <w:pStyle w:val="ListParagraph"/>
        <w:numPr>
          <w:ilvl w:val="0"/>
          <w:numId w:val="2"/>
        </w:numPr>
        <w:spacing w:after="80"/>
      </w:pPr>
      <w:r>
        <w:rPr>
          <w:rFonts w:ascii="Arial" w:cs="Arial" w:eastAsia="Arial" w:hAnsi="Arial"/>
          <w:b/>
          <w:bCs/>
          <w:sz w:val="22"/>
          <w:szCs w:val="22"/>
        </w:rPr>
        <w:t xml:space="preserve">Role-Based Learning Paths: </w:t>
      </w:r>
      <w:r>
        <w:rPr>
          <w:rFonts w:ascii="Arial" w:cs="Arial" w:eastAsia="Arial" w:hAnsi="Arial"/>
          <w:sz w:val="22"/>
          <w:szCs w:val="22"/>
        </w:rPr>
        <w:t xml:space="preserve">Separate tracks for admins (platform setup, user management), governance leads (risk assessment, compliance mapping), reviewers (assessment review, approval workflows), and clinical champions (understanding AI governance basics).</w:t>
      </w:r>
    </w:p>
    <w:p>
      <w:pPr>
        <w:pStyle w:val="ListParagraph"/>
        <w:numPr>
          <w:ilvl w:val="0"/>
          <w:numId w:val="2"/>
        </w:numPr>
        <w:spacing w:after="80"/>
      </w:pPr>
      <w:r>
        <w:rPr>
          <w:rFonts w:ascii="Arial" w:cs="Arial" w:eastAsia="Arial" w:hAnsi="Arial"/>
          <w:b/>
          <w:bCs/>
          <w:sz w:val="22"/>
          <w:szCs w:val="22"/>
        </w:rPr>
        <w:t xml:space="preserve">Certification Program: </w:t>
      </w:r>
      <w:r>
        <w:rPr>
          <w:rFonts w:ascii="Arial" w:cs="Arial" w:eastAsia="Arial" w:hAnsi="Arial"/>
          <w:sz w:val="22"/>
          <w:szCs w:val="22"/>
        </w:rPr>
        <w:t xml:space="preserve">“ForgeAI Certified AI Governance Professional” — a structured course with exam that validates competency. Customers can display this on LinkedIn. This builds your brand and creates evangelists.</w:t>
      </w:r>
    </w:p>
    <w:p>
      <w:pPr>
        <w:pStyle w:val="ListParagraph"/>
        <w:numPr>
          <w:ilvl w:val="0"/>
          <w:numId w:val="2"/>
        </w:numPr>
        <w:spacing w:after="80"/>
      </w:pPr>
      <w:r>
        <w:rPr>
          <w:rFonts w:ascii="Arial" w:cs="Arial" w:eastAsia="Arial" w:hAnsi="Arial"/>
          <w:b/>
          <w:bCs/>
          <w:sz w:val="22"/>
          <w:szCs w:val="22"/>
        </w:rPr>
        <w:t xml:space="preserve">Continuing Education: </w:t>
      </w:r>
      <w:r>
        <w:rPr>
          <w:rFonts w:ascii="Arial" w:cs="Arial" w:eastAsia="Arial" w:hAnsi="Arial"/>
          <w:sz w:val="22"/>
          <w:szCs w:val="22"/>
        </w:rPr>
        <w:t xml:space="preserve">Quarterly webinars on regulatory updates, governance best practices, and customer case studies. Offer CEU credits if possible — healthcare professionals value these.</w:t>
      </w:r>
    </w:p>
    <w:p>
      <w:pPr>
        <w:pStyle w:val="ListParagraph"/>
        <w:numPr>
          <w:ilvl w:val="0"/>
          <w:numId w:val="2"/>
        </w:numPr>
        <w:spacing w:after="80"/>
      </w:pPr>
      <w:r>
        <w:rPr>
          <w:rFonts w:ascii="Arial" w:cs="Arial" w:eastAsia="Arial" w:hAnsi="Arial"/>
          <w:b/>
          <w:bCs/>
          <w:sz w:val="22"/>
          <w:szCs w:val="22"/>
        </w:rPr>
        <w:t xml:space="preserve">Implementation Playbooks: </w:t>
      </w:r>
      <w:r>
        <w:rPr>
          <w:rFonts w:ascii="Arial" w:cs="Arial" w:eastAsia="Arial" w:hAnsi="Arial"/>
          <w:sz w:val="22"/>
          <w:szCs w:val="22"/>
        </w:rPr>
        <w:t xml:space="preserve">Downloadable guides for specific use cases: “How to Govern Clinical Decision Support AI in 30 Days,” “Vendor AI Due Diligence Checklist for Health Systems.”</w:t>
      </w:r>
    </w:p>
    <w:p>
      <w:pPr>
        <w:pStyle w:val="Heading2"/>
      </w:pPr>
      <w:r>
        <w:rPr>
          <w:rFonts w:ascii="Arial" w:cs="Arial" w:eastAsia="Arial" w:hAnsi="Arial"/>
        </w:rPr>
        <w:t xml:space="preserve">7. Customer Community &amp; Peer Network</w:t>
      </w:r>
    </w:p>
    <w:p>
      <w:pPr>
        <w:pStyle w:val="ListParagraph"/>
        <w:numPr>
          <w:ilvl w:val="0"/>
          <w:numId w:val="2"/>
        </w:numPr>
        <w:spacing w:after="80"/>
      </w:pPr>
      <w:r>
        <w:rPr>
          <w:rFonts w:ascii="Arial" w:cs="Arial" w:eastAsia="Arial" w:hAnsi="Arial"/>
          <w:b/>
          <w:bCs/>
          <w:sz w:val="22"/>
          <w:szCs w:val="22"/>
        </w:rPr>
        <w:t xml:space="preserve">Governance Community Forum: </w:t>
      </w:r>
      <w:r>
        <w:rPr>
          <w:rFonts w:ascii="Arial" w:cs="Arial" w:eastAsia="Arial" w:hAnsi="Arial"/>
          <w:sz w:val="22"/>
          <w:szCs w:val="22"/>
        </w:rPr>
        <w:t xml:space="preserve">A private space where customer governance leads can share experiences, ask questions, and discuss regulatory changes. Healthcare governance is a lonely role — peer connection is highly valued.</w:t>
      </w:r>
    </w:p>
    <w:p>
      <w:pPr>
        <w:pStyle w:val="ListParagraph"/>
        <w:numPr>
          <w:ilvl w:val="0"/>
          <w:numId w:val="2"/>
        </w:numPr>
        <w:spacing w:after="80"/>
      </w:pPr>
      <w:r>
        <w:rPr>
          <w:rFonts w:ascii="Arial" w:cs="Arial" w:eastAsia="Arial" w:hAnsi="Arial"/>
          <w:b/>
          <w:bCs/>
          <w:sz w:val="22"/>
          <w:szCs w:val="22"/>
        </w:rPr>
        <w:t xml:space="preserve">Benchmark Reports: </w:t>
      </w:r>
      <w:r>
        <w:rPr>
          <w:rFonts w:ascii="Arial" w:cs="Arial" w:eastAsia="Arial" w:hAnsi="Arial"/>
          <w:sz w:val="22"/>
          <w:szCs w:val="22"/>
        </w:rPr>
        <w:t xml:space="preserve">Anonymized, aggregated data across your customer base: “Average maturity score across health systems is 2.8/5.0” or “72% of customers have completed bias testing for diagnostic imaging AI.” Customers love knowing where they stand relative to peers.</w:t>
      </w:r>
    </w:p>
    <w:p>
      <w:pPr>
        <w:pStyle w:val="ListParagraph"/>
        <w:numPr>
          <w:ilvl w:val="0"/>
          <w:numId w:val="2"/>
        </w:numPr>
        <w:spacing w:after="80"/>
      </w:pPr>
      <w:r>
        <w:rPr>
          <w:rFonts w:ascii="Arial" w:cs="Arial" w:eastAsia="Arial" w:hAnsi="Arial"/>
          <w:b/>
          <w:bCs/>
          <w:sz w:val="22"/>
          <w:szCs w:val="22"/>
        </w:rPr>
        <w:t xml:space="preserve">Advisory Board: </w:t>
      </w:r>
      <w:r>
        <w:rPr>
          <w:rFonts w:ascii="Arial" w:cs="Arial" w:eastAsia="Arial" w:hAnsi="Arial"/>
          <w:sz w:val="22"/>
          <w:szCs w:val="22"/>
        </w:rPr>
        <w:t xml:space="preserve">Invite your most engaged customers into a quarterly advisory council. They get early access to features and influence the roadmap; you get direct market intelligence.</w:t>
      </w:r>
    </w:p>
    <w:p>
      <w:r>
        <w:br w:type="page"/>
      </w:r>
    </w:p>
    <w:p>
      <w:pPr>
        <w:pStyle w:val="Heading1"/>
      </w:pPr>
      <w:r>
        <w:rPr>
          <w:rFonts w:ascii="Arial" w:cs="Arial" w:eastAsia="Arial" w:hAnsi="Arial"/>
        </w:rPr>
        <w:t xml:space="preserve">Part B: Employee-Facing Additions</w:t>
      </w:r>
    </w:p>
    <w:p>
      <w:pPr>
        <w:spacing w:after="120"/>
      </w:pPr>
      <w:r>
        <w:rPr>
          <w:rFonts w:ascii="Arial" w:cs="Arial" w:eastAsia="Arial" w:hAnsi="Arial"/>
          <w:sz w:val="22"/>
          <w:szCs w:val="22"/>
        </w:rPr>
        <w:t xml:space="preserve">These additions support your internal team — developers, consultants, sales, customer success, and leadership — in building, selling, and supporting ForgeAI Govern.</w:t>
      </w:r>
    </w:p>
    <w:p>
      <w:pPr>
        <w:pStyle w:val="Heading2"/>
      </w:pPr>
      <w:r>
        <w:rPr>
          <w:rFonts w:ascii="Arial" w:cs="Arial" w:eastAsia="Arial" w:hAnsi="Arial"/>
        </w:rPr>
        <w:t xml:space="preserve">1. Internal Knowledge Base &amp; Documentation Hub</w:t>
      </w:r>
    </w:p>
    <w:p>
      <w:pPr>
        <w:spacing w:after="120"/>
      </w:pPr>
      <w:r>
        <w:rPr>
          <w:rFonts w:ascii="Arial" w:cs="Arial" w:eastAsia="Arial" w:hAnsi="Arial"/>
          <w:sz w:val="22"/>
          <w:szCs w:val="22"/>
        </w:rPr>
        <w:t xml:space="preserve">As you scale the team, institutional knowledge can’t live in people’s heads. Centralize everything.</w:t>
      </w:r>
    </w:p>
    <w:p>
      <w:pPr>
        <w:pStyle w:val="Heading3"/>
      </w:pPr>
      <w:r>
        <w:rPr>
          <w:rFonts w:ascii="Arial" w:cs="Arial" w:eastAsia="Arial" w:hAnsi="Arial"/>
        </w:rPr>
        <w:t xml:space="preserve">What to Include</w:t>
      </w:r>
    </w:p>
    <w:p>
      <w:pPr>
        <w:pStyle w:val="ListParagraph"/>
        <w:numPr>
          <w:ilvl w:val="0"/>
          <w:numId w:val="2"/>
        </w:numPr>
        <w:spacing w:after="80"/>
      </w:pPr>
      <w:r>
        <w:rPr>
          <w:rFonts w:ascii="Arial" w:cs="Arial" w:eastAsia="Arial" w:hAnsi="Arial"/>
          <w:b/>
          <w:bCs/>
          <w:sz w:val="22"/>
          <w:szCs w:val="22"/>
        </w:rPr>
        <w:t xml:space="preserve">Architecture Decision Records (ADRs): </w:t>
      </w:r>
      <w:r>
        <w:rPr>
          <w:rFonts w:ascii="Arial" w:cs="Arial" w:eastAsia="Arial" w:hAnsi="Arial"/>
          <w:sz w:val="22"/>
          <w:szCs w:val="22"/>
        </w:rPr>
        <w:t xml:space="preserve">Document every significant technical decision (why Cloudflare over AWS, why D1 over Postgres, why PBKDF2 over bcrypt) so new engineers understand the rationale.</w:t>
      </w:r>
    </w:p>
    <w:p>
      <w:pPr>
        <w:pStyle w:val="ListParagraph"/>
        <w:numPr>
          <w:ilvl w:val="0"/>
          <w:numId w:val="2"/>
        </w:numPr>
        <w:spacing w:after="80"/>
      </w:pPr>
      <w:r>
        <w:rPr>
          <w:rFonts w:ascii="Arial" w:cs="Arial" w:eastAsia="Arial" w:hAnsi="Arial"/>
          <w:b/>
          <w:bCs/>
          <w:sz w:val="22"/>
          <w:szCs w:val="22"/>
        </w:rPr>
        <w:t xml:space="preserve">Runbooks: </w:t>
      </w:r>
      <w:r>
        <w:rPr>
          <w:rFonts w:ascii="Arial" w:cs="Arial" w:eastAsia="Arial" w:hAnsi="Arial"/>
          <w:sz w:val="22"/>
          <w:szCs w:val="22"/>
        </w:rPr>
        <w:t xml:space="preserve">Step-by-step operational procedures for common tasks: deploying a new version, running database migrations, investigating a customer incident, onboarding a new tenant.</w:t>
      </w:r>
    </w:p>
    <w:p>
      <w:pPr>
        <w:pStyle w:val="ListParagraph"/>
        <w:numPr>
          <w:ilvl w:val="0"/>
          <w:numId w:val="2"/>
        </w:numPr>
        <w:spacing w:after="80"/>
      </w:pPr>
      <w:r>
        <w:rPr>
          <w:rFonts w:ascii="Arial" w:cs="Arial" w:eastAsia="Arial" w:hAnsi="Arial"/>
          <w:b/>
          <w:bCs/>
          <w:sz w:val="22"/>
          <w:szCs w:val="22"/>
        </w:rPr>
        <w:t xml:space="preserve">Regulatory Reference Library: </w:t>
      </w:r>
      <w:r>
        <w:rPr>
          <w:rFonts w:ascii="Arial" w:cs="Arial" w:eastAsia="Arial" w:hAnsi="Arial"/>
          <w:sz w:val="22"/>
          <w:szCs w:val="22"/>
        </w:rPr>
        <w:t xml:space="preserve">Internal copies of all regulations the platform covers, annotated with how each requirement maps to platform features. This is essential for your consulting team and product managers.</w:t>
      </w:r>
    </w:p>
    <w:p>
      <w:pPr>
        <w:pStyle w:val="ListParagraph"/>
        <w:numPr>
          <w:ilvl w:val="0"/>
          <w:numId w:val="2"/>
        </w:numPr>
        <w:spacing w:after="80"/>
      </w:pPr>
      <w:r>
        <w:rPr>
          <w:rFonts w:ascii="Arial" w:cs="Arial" w:eastAsia="Arial" w:hAnsi="Arial"/>
          <w:b/>
          <w:bCs/>
          <w:sz w:val="22"/>
          <w:szCs w:val="22"/>
        </w:rPr>
        <w:t xml:space="preserve">Competitive Intelligence: </w:t>
      </w:r>
      <w:r>
        <w:rPr>
          <w:rFonts w:ascii="Arial" w:cs="Arial" w:eastAsia="Arial" w:hAnsi="Arial"/>
          <w:sz w:val="22"/>
          <w:szCs w:val="22"/>
        </w:rPr>
        <w:t xml:space="preserve">Maintained profiles of competitors (Credo AI, ModelOp, Trustible, IBM watsonx.governance) with feature comparisons, pricing intelligence, and win/loss analysis.</w:t>
      </w:r>
    </w:p>
    <w:p>
      <w:pPr>
        <w:pStyle w:val="ListParagraph"/>
        <w:numPr>
          <w:ilvl w:val="0"/>
          <w:numId w:val="2"/>
        </w:numPr>
        <w:spacing w:after="80"/>
      </w:pPr>
      <w:r>
        <w:rPr>
          <w:rFonts w:ascii="Arial" w:cs="Arial" w:eastAsia="Arial" w:hAnsi="Arial"/>
          <w:b/>
          <w:bCs/>
          <w:sz w:val="22"/>
          <w:szCs w:val="22"/>
        </w:rPr>
        <w:t xml:space="preserve">Sales Playbooks: </w:t>
      </w:r>
      <w:r>
        <w:rPr>
          <w:rFonts w:ascii="Arial" w:cs="Arial" w:eastAsia="Arial" w:hAnsi="Arial"/>
          <w:sz w:val="22"/>
          <w:szCs w:val="22"/>
        </w:rPr>
        <w:t xml:space="preserve">Objection handling guides, demo scripts, ROI calculators, and case study templates for the sales team.</w:t>
      </w:r>
    </w:p>
    <w:p>
      <w:pPr>
        <w:pStyle w:val="ListParagraph"/>
        <w:numPr>
          <w:ilvl w:val="0"/>
          <w:numId w:val="2"/>
        </w:numPr>
        <w:spacing w:after="80"/>
      </w:pPr>
      <w:r>
        <w:rPr>
          <w:rFonts w:ascii="Arial" w:cs="Arial" w:eastAsia="Arial" w:hAnsi="Arial"/>
          <w:b/>
          <w:bCs/>
          <w:sz w:val="22"/>
          <w:szCs w:val="22"/>
        </w:rPr>
        <w:t xml:space="preserve">Customer Onboarding Runbook: </w:t>
      </w:r>
      <w:r>
        <w:rPr>
          <w:rFonts w:ascii="Arial" w:cs="Arial" w:eastAsia="Arial" w:hAnsi="Arial"/>
          <w:sz w:val="22"/>
          <w:szCs w:val="22"/>
        </w:rPr>
        <w:t xml:space="preserve">The exact steps your customer success team follows for every new client: kickoff meeting agenda, data migration checklist, training schedule, go-live criteria.</w:t>
      </w:r>
    </w:p>
    <w:p>
      <w:pPr>
        <w:pStyle w:val="Heading2"/>
      </w:pPr>
      <w:r>
        <w:rPr>
          <w:rFonts w:ascii="Arial" w:cs="Arial" w:eastAsia="Arial" w:hAnsi="Arial"/>
        </w:rPr>
        <w:t xml:space="preserve">2. Developer Experience &amp; Tooling</w:t>
      </w:r>
    </w:p>
    <w:p>
      <w:pPr>
        <w:pStyle w:val="ListParagraph"/>
        <w:numPr>
          <w:ilvl w:val="0"/>
          <w:numId w:val="2"/>
        </w:numPr>
        <w:spacing w:after="80"/>
      </w:pPr>
      <w:r>
        <w:rPr>
          <w:rFonts w:ascii="Arial" w:cs="Arial" w:eastAsia="Arial" w:hAnsi="Arial"/>
          <w:b/>
          <w:bCs/>
          <w:sz w:val="22"/>
          <w:szCs w:val="22"/>
        </w:rPr>
        <w:t xml:space="preserve">Local Development Environment: </w:t>
      </w:r>
      <w:r>
        <w:rPr>
          <w:rFonts w:ascii="Arial" w:cs="Arial" w:eastAsia="Arial" w:hAnsi="Arial"/>
          <w:sz w:val="22"/>
          <w:szCs w:val="22"/>
        </w:rPr>
        <w:t xml:space="preserve">The Express + better-sqlite3 fallback is a great start. Add Docker Compose for one-command setup, pre-seeded with demo data, so any developer can be productive in minutes.</w:t>
      </w:r>
    </w:p>
    <w:p>
      <w:pPr>
        <w:pStyle w:val="ListParagraph"/>
        <w:numPr>
          <w:ilvl w:val="0"/>
          <w:numId w:val="2"/>
        </w:numPr>
        <w:spacing w:after="80"/>
      </w:pPr>
      <w:r>
        <w:rPr>
          <w:rFonts w:ascii="Arial" w:cs="Arial" w:eastAsia="Arial" w:hAnsi="Arial"/>
          <w:b/>
          <w:bCs/>
          <w:sz w:val="22"/>
          <w:szCs w:val="22"/>
        </w:rPr>
        <w:t xml:space="preserve">CI/CD Pipeline: </w:t>
      </w:r>
      <w:r>
        <w:rPr>
          <w:rFonts w:ascii="Arial" w:cs="Arial" w:eastAsia="Arial" w:hAnsi="Arial"/>
          <w:sz w:val="22"/>
          <w:szCs w:val="22"/>
        </w:rPr>
        <w:t xml:space="preserve">Automated testing on every PR, staging deployment via Wrangler, and production deployment gates. Add Cloudflare Workers preview deployments for PR reviews.</w:t>
      </w:r>
    </w:p>
    <w:p>
      <w:pPr>
        <w:pStyle w:val="ListParagraph"/>
        <w:numPr>
          <w:ilvl w:val="0"/>
          <w:numId w:val="2"/>
        </w:numPr>
        <w:spacing w:after="80"/>
      </w:pPr>
      <w:r>
        <w:rPr>
          <w:rFonts w:ascii="Arial" w:cs="Arial" w:eastAsia="Arial" w:hAnsi="Arial"/>
          <w:b/>
          <w:bCs/>
          <w:sz w:val="22"/>
          <w:szCs w:val="22"/>
        </w:rPr>
        <w:t xml:space="preserve">API Documentation: </w:t>
      </w:r>
      <w:r>
        <w:rPr>
          <w:rFonts w:ascii="Arial" w:cs="Arial" w:eastAsia="Arial" w:hAnsi="Arial"/>
          <w:sz w:val="22"/>
          <w:szCs w:val="22"/>
        </w:rPr>
        <w:t xml:space="preserve">Auto-generated OpenAPI/Swagger docs from your route definitions. Publish internally and to customers. This also enables SDK generation.</w:t>
      </w:r>
    </w:p>
    <w:p>
      <w:pPr>
        <w:pStyle w:val="ListParagraph"/>
        <w:numPr>
          <w:ilvl w:val="0"/>
          <w:numId w:val="2"/>
        </w:numPr>
        <w:spacing w:after="80"/>
      </w:pPr>
      <w:r>
        <w:rPr>
          <w:rFonts w:ascii="Arial" w:cs="Arial" w:eastAsia="Arial" w:hAnsi="Arial"/>
          <w:b/>
          <w:bCs/>
          <w:sz w:val="22"/>
          <w:szCs w:val="22"/>
        </w:rPr>
        <w:t xml:space="preserve">Feature Flags: </w:t>
      </w:r>
      <w:r>
        <w:rPr>
          <w:rFonts w:ascii="Arial" w:cs="Arial" w:eastAsia="Arial" w:hAnsi="Arial"/>
          <w:sz w:val="22"/>
          <w:szCs w:val="22"/>
        </w:rPr>
        <w:t xml:space="preserve">Use the KV namespace (already bound but unused) to implement feature flags. This lets you ship code to production without exposing unfinished features, and enables per-tenant feature rollouts.</w:t>
      </w:r>
    </w:p>
    <w:p>
      <w:pPr>
        <w:pStyle w:val="ListParagraph"/>
        <w:numPr>
          <w:ilvl w:val="0"/>
          <w:numId w:val="2"/>
        </w:numPr>
        <w:spacing w:after="80"/>
      </w:pPr>
      <w:r>
        <w:rPr>
          <w:rFonts w:ascii="Arial" w:cs="Arial" w:eastAsia="Arial" w:hAnsi="Arial"/>
          <w:b/>
          <w:bCs/>
          <w:sz w:val="22"/>
          <w:szCs w:val="22"/>
        </w:rPr>
        <w:t xml:space="preserve">Error Tracking: </w:t>
      </w:r>
      <w:r>
        <w:rPr>
          <w:rFonts w:ascii="Arial" w:cs="Arial" w:eastAsia="Arial" w:hAnsi="Arial"/>
          <w:sz w:val="22"/>
          <w:szCs w:val="22"/>
        </w:rPr>
        <w:t xml:space="preserve">Integrate Sentry or a similar error tracking service. The current catch-all in worker.js logs to console.error, which is invisible in production Workers.</w:t>
      </w:r>
    </w:p>
    <w:p>
      <w:pPr>
        <w:pStyle w:val="ListParagraph"/>
        <w:numPr>
          <w:ilvl w:val="0"/>
          <w:numId w:val="2"/>
        </w:numPr>
        <w:spacing w:after="80"/>
      </w:pPr>
      <w:r>
        <w:rPr>
          <w:rFonts w:ascii="Arial" w:cs="Arial" w:eastAsia="Arial" w:hAnsi="Arial"/>
          <w:b/>
          <w:bCs/>
          <w:sz w:val="22"/>
          <w:szCs w:val="22"/>
        </w:rPr>
        <w:t xml:space="preserve">Performance Monitoring: </w:t>
      </w:r>
      <w:r>
        <w:rPr>
          <w:rFonts w:ascii="Arial" w:cs="Arial" w:eastAsia="Arial" w:hAnsi="Arial"/>
          <w:sz w:val="22"/>
          <w:szCs w:val="22"/>
        </w:rPr>
        <w:t xml:space="preserve">Track Worker CPU time, D1 query latency, and R2 operation metrics. Set up alerts when handlers approach Workers CPU limits.</w:t>
      </w:r>
    </w:p>
    <w:p>
      <w:pPr>
        <w:pStyle w:val="Heading2"/>
      </w:pPr>
      <w:r>
        <w:rPr>
          <w:rFonts w:ascii="Arial" w:cs="Arial" w:eastAsia="Arial" w:hAnsi="Arial"/>
        </w:rPr>
        <w:t xml:space="preserve">3. Internal Operations Dashboard</w:t>
      </w:r>
    </w:p>
    <w:p>
      <w:pPr>
        <w:spacing w:after="120"/>
      </w:pPr>
      <w:r>
        <w:rPr>
          <w:rFonts w:ascii="Arial" w:cs="Arial" w:eastAsia="Arial" w:hAnsi="Arial"/>
          <w:sz w:val="22"/>
          <w:szCs w:val="22"/>
        </w:rPr>
        <w:t xml:space="preserve">Your team needs visibility into platform health and customer usage. Build an internal admin panel (separate from the customer-facing dashboard) that shows:</w:t>
      </w:r>
    </w:p>
    <w:p>
      <w:pPr>
        <w:pStyle w:val="ListParagraph"/>
        <w:numPr>
          <w:ilvl w:val="0"/>
          <w:numId w:val="2"/>
        </w:numPr>
        <w:spacing w:after="80"/>
      </w:pPr>
      <w:r>
        <w:rPr>
          <w:rFonts w:ascii="Arial" w:cs="Arial" w:eastAsia="Arial" w:hAnsi="Arial"/>
          <w:b/>
          <w:bCs/>
          <w:sz w:val="22"/>
          <w:szCs w:val="22"/>
        </w:rPr>
        <w:t xml:space="preserve">Platform Health: </w:t>
      </w:r>
      <w:r>
        <w:rPr>
          <w:rFonts w:ascii="Arial" w:cs="Arial" w:eastAsia="Arial" w:hAnsi="Arial"/>
          <w:sz w:val="22"/>
          <w:szCs w:val="22"/>
        </w:rPr>
        <w:t xml:space="preserve">Worker error rates, D1 query performance, R2 storage utilization, KV cache hit rates across all tenants.</w:t>
      </w:r>
    </w:p>
    <w:p>
      <w:pPr>
        <w:pStyle w:val="ListParagraph"/>
        <w:numPr>
          <w:ilvl w:val="0"/>
          <w:numId w:val="2"/>
        </w:numPr>
        <w:spacing w:after="80"/>
      </w:pPr>
      <w:r>
        <w:rPr>
          <w:rFonts w:ascii="Arial" w:cs="Arial" w:eastAsia="Arial" w:hAnsi="Arial"/>
          <w:b/>
          <w:bCs/>
          <w:sz w:val="22"/>
          <w:szCs w:val="22"/>
        </w:rPr>
        <w:t xml:space="preserve">Customer Health Scores: </w:t>
      </w:r>
      <w:r>
        <w:rPr>
          <w:rFonts w:ascii="Arial" w:cs="Arial" w:eastAsia="Arial" w:hAnsi="Arial"/>
          <w:sz w:val="22"/>
          <w:szCs w:val="22"/>
        </w:rPr>
        <w:t xml:space="preserve">Per-tenant usage metrics — login frequency, assets registered, assessments completed, reports generated. Flag accounts with declining usage for proactive outreach.</w:t>
      </w:r>
    </w:p>
    <w:p>
      <w:pPr>
        <w:pStyle w:val="ListParagraph"/>
        <w:numPr>
          <w:ilvl w:val="0"/>
          <w:numId w:val="2"/>
        </w:numPr>
        <w:spacing w:after="80"/>
      </w:pPr>
      <w:r>
        <w:rPr>
          <w:rFonts w:ascii="Arial" w:cs="Arial" w:eastAsia="Arial" w:hAnsi="Arial"/>
          <w:b/>
          <w:bCs/>
          <w:sz w:val="22"/>
          <w:szCs w:val="22"/>
        </w:rPr>
        <w:t xml:space="preserve">Tenant Management: </w:t>
      </w:r>
      <w:r>
        <w:rPr>
          <w:rFonts w:ascii="Arial" w:cs="Arial" w:eastAsia="Arial" w:hAnsi="Arial"/>
          <w:sz w:val="22"/>
          <w:szCs w:val="22"/>
        </w:rPr>
        <w:t xml:space="preserve">Create, suspend, and configure tenants. View tenant-level audit logs for troubleshooting. This is the super-admin console mentioned in the previous review.</w:t>
      </w:r>
    </w:p>
    <w:p>
      <w:pPr>
        <w:pStyle w:val="ListParagraph"/>
        <w:numPr>
          <w:ilvl w:val="0"/>
          <w:numId w:val="2"/>
        </w:numPr>
        <w:spacing w:after="80"/>
      </w:pPr>
      <w:r>
        <w:rPr>
          <w:rFonts w:ascii="Arial" w:cs="Arial" w:eastAsia="Arial" w:hAnsi="Arial"/>
          <w:b/>
          <w:bCs/>
          <w:sz w:val="22"/>
          <w:szCs w:val="22"/>
        </w:rPr>
        <w:t xml:space="preserve">Revenue Metrics: </w:t>
      </w:r>
      <w:r>
        <w:rPr>
          <w:rFonts w:ascii="Arial" w:cs="Arial" w:eastAsia="Arial" w:hAnsi="Arial"/>
          <w:sz w:val="22"/>
          <w:szCs w:val="22"/>
        </w:rPr>
        <w:t xml:space="preserve">Plan distribution, trial conversion rates, feature usage by plan tier. This informs pricing and packaging decisions.</w:t>
      </w:r>
    </w:p>
    <w:p>
      <w:pPr>
        <w:pStyle w:val="Heading2"/>
      </w:pPr>
      <w:r>
        <w:rPr>
          <w:rFonts w:ascii="Arial" w:cs="Arial" w:eastAsia="Arial" w:hAnsi="Arial"/>
        </w:rPr>
        <w:t xml:space="preserve">4. Employee Training &amp; Onboarding Program</w:t>
      </w:r>
    </w:p>
    <w:p>
      <w:pPr>
        <w:pStyle w:val="Heading3"/>
      </w:pPr>
      <w:r>
        <w:rPr>
          <w:rFonts w:ascii="Arial" w:cs="Arial" w:eastAsia="Arial" w:hAnsi="Arial"/>
        </w:rPr>
        <w:t xml:space="preserve">For New Engineers</w:t>
      </w:r>
    </w:p>
    <w:p>
      <w:pPr>
        <w:pStyle w:val="ListParagraph"/>
        <w:numPr>
          <w:ilvl w:val="0"/>
          <w:numId w:val="2"/>
        </w:numPr>
        <w:spacing w:after="80"/>
      </w:pPr>
      <w:r>
        <w:rPr>
          <w:rFonts w:ascii="Arial" w:cs="Arial" w:eastAsia="Arial" w:hAnsi="Arial"/>
          <w:b/>
          <w:bCs/>
          <w:sz w:val="22"/>
          <w:szCs w:val="22"/>
        </w:rPr>
        <w:t xml:space="preserve">Codebase Walkthrough: </w:t>
      </w:r>
      <w:r>
        <w:rPr>
          <w:rFonts w:ascii="Arial" w:cs="Arial" w:eastAsia="Arial" w:hAnsi="Arial"/>
          <w:sz w:val="22"/>
          <w:szCs w:val="22"/>
        </w:rPr>
        <w:t xml:space="preserve">Recorded session walking through the architecture, module structure, and key design patterns. Update this whenever significant refactoring happens.</w:t>
      </w:r>
    </w:p>
    <w:p>
      <w:pPr>
        <w:pStyle w:val="ListParagraph"/>
        <w:numPr>
          <w:ilvl w:val="0"/>
          <w:numId w:val="2"/>
        </w:numPr>
        <w:spacing w:after="80"/>
      </w:pPr>
      <w:r>
        <w:rPr>
          <w:rFonts w:ascii="Arial" w:cs="Arial" w:eastAsia="Arial" w:hAnsi="Arial"/>
          <w:b/>
          <w:bCs/>
          <w:sz w:val="22"/>
          <w:szCs w:val="22"/>
        </w:rPr>
        <w:t xml:space="preserve">Pairing Rotation: </w:t>
      </w:r>
      <w:r>
        <w:rPr>
          <w:rFonts w:ascii="Arial" w:cs="Arial" w:eastAsia="Arial" w:hAnsi="Arial"/>
          <w:sz w:val="22"/>
          <w:szCs w:val="22"/>
        </w:rPr>
        <w:t xml:space="preserve">New engineers pair with different team members for their first two weeks, touching each module.</w:t>
      </w:r>
    </w:p>
    <w:p>
      <w:pPr>
        <w:pStyle w:val="ListParagraph"/>
        <w:numPr>
          <w:ilvl w:val="0"/>
          <w:numId w:val="2"/>
        </w:numPr>
        <w:spacing w:after="80"/>
      </w:pPr>
      <w:r>
        <w:rPr>
          <w:rFonts w:ascii="Arial" w:cs="Arial" w:eastAsia="Arial" w:hAnsi="Arial"/>
          <w:b/>
          <w:bCs/>
          <w:sz w:val="22"/>
          <w:szCs w:val="22"/>
        </w:rPr>
        <w:t xml:space="preserve">First-Week Challenges: </w:t>
      </w:r>
      <w:r>
        <w:rPr>
          <w:rFonts w:ascii="Arial" w:cs="Arial" w:eastAsia="Arial" w:hAnsi="Arial"/>
          <w:sz w:val="22"/>
          <w:szCs w:val="22"/>
        </w:rPr>
        <w:t xml:space="preserve">Three small tasks that exercise the full stack: fix a bug, add a field, write a test. Validates the dev environment and builds confidence.</w:t>
      </w:r>
    </w:p>
    <w:p>
      <w:pPr>
        <w:pStyle w:val="Heading3"/>
      </w:pPr>
      <w:r>
        <w:rPr>
          <w:rFonts w:ascii="Arial" w:cs="Arial" w:eastAsia="Arial" w:hAnsi="Arial"/>
        </w:rPr>
        <w:t xml:space="preserve">For Consultants &amp; Customer Success</w:t>
      </w:r>
    </w:p>
    <w:p>
      <w:pPr>
        <w:pStyle w:val="ListParagraph"/>
        <w:numPr>
          <w:ilvl w:val="0"/>
          <w:numId w:val="2"/>
        </w:numPr>
        <w:spacing w:after="80"/>
      </w:pPr>
      <w:r>
        <w:rPr>
          <w:rFonts w:ascii="Arial" w:cs="Arial" w:eastAsia="Arial" w:hAnsi="Arial"/>
          <w:b/>
          <w:bCs/>
          <w:sz w:val="22"/>
          <w:szCs w:val="22"/>
        </w:rPr>
        <w:t xml:space="preserve">Platform Certification: </w:t>
      </w:r>
      <w:r>
        <w:rPr>
          <w:rFonts w:ascii="Arial" w:cs="Arial" w:eastAsia="Arial" w:hAnsi="Arial"/>
          <w:sz w:val="22"/>
          <w:szCs w:val="22"/>
        </w:rPr>
        <w:t xml:space="preserve">Every client-facing employee should complete the same certification program offered to customers, plus an internal “advanced” module covering troubleshooting, data migration, and custom configuration.</w:t>
      </w:r>
    </w:p>
    <w:p>
      <w:pPr>
        <w:pStyle w:val="ListParagraph"/>
        <w:numPr>
          <w:ilvl w:val="0"/>
          <w:numId w:val="2"/>
        </w:numPr>
        <w:spacing w:after="80"/>
      </w:pPr>
      <w:r>
        <w:rPr>
          <w:rFonts w:ascii="Arial" w:cs="Arial" w:eastAsia="Arial" w:hAnsi="Arial"/>
          <w:b/>
          <w:bCs/>
          <w:sz w:val="22"/>
          <w:szCs w:val="22"/>
        </w:rPr>
        <w:t xml:space="preserve">Regulatory Training: </w:t>
      </w:r>
      <w:r>
        <w:rPr>
          <w:rFonts w:ascii="Arial" w:cs="Arial" w:eastAsia="Arial" w:hAnsi="Arial"/>
          <w:sz w:val="22"/>
          <w:szCs w:val="22"/>
        </w:rPr>
        <w:t xml:space="preserve">Quarterly deep-dives on NIST AI RMF, FDA SaMD, HIPAA, and emerging state laws. Your consultants need to be credible advisors, not just platform operators.</w:t>
      </w:r>
    </w:p>
    <w:p>
      <w:pPr>
        <w:pStyle w:val="ListParagraph"/>
        <w:numPr>
          <w:ilvl w:val="0"/>
          <w:numId w:val="2"/>
        </w:numPr>
        <w:spacing w:after="80"/>
      </w:pPr>
      <w:r>
        <w:rPr>
          <w:rFonts w:ascii="Arial" w:cs="Arial" w:eastAsia="Arial" w:hAnsi="Arial"/>
          <w:b/>
          <w:bCs/>
          <w:sz w:val="22"/>
          <w:szCs w:val="22"/>
        </w:rPr>
        <w:t xml:space="preserve">Customer Scenario Simulations: </w:t>
      </w:r>
      <w:r>
        <w:rPr>
          <w:rFonts w:ascii="Arial" w:cs="Arial" w:eastAsia="Arial" w:hAnsi="Arial"/>
          <w:sz w:val="22"/>
          <w:szCs w:val="22"/>
        </w:rPr>
        <w:t xml:space="preserve">Role-play exercises based on real customer situations: “A client’s diagnostic imaging AI is flagged with disparate impact — walk them through the remediation workflow.”</w:t>
      </w:r>
    </w:p>
    <w:p>
      <w:pPr>
        <w:pStyle w:val="Heading3"/>
      </w:pPr>
      <w:r>
        <w:rPr>
          <w:rFonts w:ascii="Arial" w:cs="Arial" w:eastAsia="Arial" w:hAnsi="Arial"/>
        </w:rPr>
        <w:t xml:space="preserve">For Sales</w:t>
      </w:r>
    </w:p>
    <w:p>
      <w:pPr>
        <w:pStyle w:val="ListParagraph"/>
        <w:numPr>
          <w:ilvl w:val="0"/>
          <w:numId w:val="2"/>
        </w:numPr>
        <w:spacing w:after="80"/>
      </w:pPr>
      <w:r>
        <w:rPr>
          <w:rFonts w:ascii="Arial" w:cs="Arial" w:eastAsia="Arial" w:hAnsi="Arial"/>
          <w:b/>
          <w:bCs/>
          <w:sz w:val="22"/>
          <w:szCs w:val="22"/>
        </w:rPr>
        <w:t xml:space="preserve">Demo Environment: </w:t>
      </w:r>
      <w:r>
        <w:rPr>
          <w:rFonts w:ascii="Arial" w:cs="Arial" w:eastAsia="Arial" w:hAnsi="Arial"/>
          <w:sz w:val="22"/>
          <w:szCs w:val="22"/>
        </w:rPr>
        <w:t xml:space="preserve">A dedicated, always-current demo tenant with realistic data. Sales reps should be able to give a compelling platform demo without engineering support.</w:t>
      </w:r>
    </w:p>
    <w:p>
      <w:pPr>
        <w:pStyle w:val="ListParagraph"/>
        <w:numPr>
          <w:ilvl w:val="0"/>
          <w:numId w:val="2"/>
        </w:numPr>
        <w:spacing w:after="80"/>
      </w:pPr>
      <w:r>
        <w:rPr>
          <w:rFonts w:ascii="Arial" w:cs="Arial" w:eastAsia="Arial" w:hAnsi="Arial"/>
          <w:b/>
          <w:bCs/>
          <w:sz w:val="22"/>
          <w:szCs w:val="22"/>
        </w:rPr>
        <w:t xml:space="preserve">Competitive Battle Cards: </w:t>
      </w:r>
      <w:r>
        <w:rPr>
          <w:rFonts w:ascii="Arial" w:cs="Arial" w:eastAsia="Arial" w:hAnsi="Arial"/>
          <w:sz w:val="22"/>
          <w:szCs w:val="22"/>
        </w:rPr>
        <w:t xml:space="preserve">One-page comparisons for each key competitor, focusing on where ForgeAI Govern wins (healthcare-native, edge-deployed, multi-framework crosswalk).</w:t>
      </w:r>
    </w:p>
    <w:p>
      <w:pPr>
        <w:pStyle w:val="ListParagraph"/>
        <w:numPr>
          <w:ilvl w:val="0"/>
          <w:numId w:val="2"/>
        </w:numPr>
        <w:spacing w:after="80"/>
      </w:pPr>
      <w:r>
        <w:rPr>
          <w:rFonts w:ascii="Arial" w:cs="Arial" w:eastAsia="Arial" w:hAnsi="Arial"/>
          <w:b/>
          <w:bCs/>
          <w:sz w:val="22"/>
          <w:szCs w:val="22"/>
        </w:rPr>
        <w:t xml:space="preserve">ROI Framework: </w:t>
      </w:r>
      <w:r>
        <w:rPr>
          <w:rFonts w:ascii="Arial" w:cs="Arial" w:eastAsia="Arial" w:hAnsi="Arial"/>
          <w:sz w:val="22"/>
          <w:szCs w:val="22"/>
        </w:rPr>
        <w:t xml:space="preserve">A calculator showing the cost of non-governance (regulatory fines, incident costs, audit prep time) vs. the cost of the platform. Quantify the value proposition.</w:t>
      </w:r>
    </w:p>
    <w:p>
      <w:pPr>
        <w:pStyle w:val="Heading2"/>
      </w:pPr>
      <w:r>
        <w:rPr>
          <w:rFonts w:ascii="Arial" w:cs="Arial" w:eastAsia="Arial" w:hAnsi="Arial"/>
        </w:rPr>
        <w:t xml:space="preserve">5. Internal Communication &amp; Feedback Loops</w:t>
      </w:r>
    </w:p>
    <w:p>
      <w:pPr>
        <w:pStyle w:val="ListParagraph"/>
        <w:numPr>
          <w:ilvl w:val="0"/>
          <w:numId w:val="2"/>
        </w:numPr>
        <w:spacing w:after="80"/>
      </w:pPr>
      <w:r>
        <w:rPr>
          <w:rFonts w:ascii="Arial" w:cs="Arial" w:eastAsia="Arial" w:hAnsi="Arial"/>
          <w:b/>
          <w:bCs/>
          <w:sz w:val="22"/>
          <w:szCs w:val="22"/>
        </w:rPr>
        <w:t xml:space="preserve">Weekly Engineering Standup Notes: </w:t>
      </w:r>
      <w:r>
        <w:rPr>
          <w:rFonts w:ascii="Arial" w:cs="Arial" w:eastAsia="Arial" w:hAnsi="Arial"/>
          <w:sz w:val="22"/>
          <w:szCs w:val="22"/>
        </w:rPr>
        <w:t xml:space="preserve">Published to the knowledge base so non-engineering teams know what’s shipping and what’s changing.</w:t>
      </w:r>
    </w:p>
    <w:p>
      <w:pPr>
        <w:pStyle w:val="ListParagraph"/>
        <w:numPr>
          <w:ilvl w:val="0"/>
          <w:numId w:val="2"/>
        </w:numPr>
        <w:spacing w:after="80"/>
      </w:pPr>
      <w:r>
        <w:rPr>
          <w:rFonts w:ascii="Arial" w:cs="Arial" w:eastAsia="Arial" w:hAnsi="Arial"/>
          <w:b/>
          <w:bCs/>
          <w:sz w:val="22"/>
          <w:szCs w:val="22"/>
        </w:rPr>
        <w:t xml:space="preserve">Customer Feedback Pipeline: </w:t>
      </w:r>
      <w:r>
        <w:rPr>
          <w:rFonts w:ascii="Arial" w:cs="Arial" w:eastAsia="Arial" w:hAnsi="Arial"/>
          <w:sz w:val="22"/>
          <w:szCs w:val="22"/>
        </w:rPr>
        <w:t xml:space="preserve">Structured process for routing customer requests from success → product → engineering. Every team member should be able to submit feedback on behalf of customers.</w:t>
      </w:r>
    </w:p>
    <w:p>
      <w:pPr>
        <w:pStyle w:val="ListParagraph"/>
        <w:numPr>
          <w:ilvl w:val="0"/>
          <w:numId w:val="2"/>
        </w:numPr>
        <w:spacing w:after="80"/>
      </w:pPr>
      <w:r>
        <w:rPr>
          <w:rFonts w:ascii="Arial" w:cs="Arial" w:eastAsia="Arial" w:hAnsi="Arial"/>
          <w:b/>
          <w:bCs/>
          <w:sz w:val="22"/>
          <w:szCs w:val="22"/>
        </w:rPr>
        <w:t xml:space="preserve">Monthly Product Review: </w:t>
      </w:r>
      <w:r>
        <w:rPr>
          <w:rFonts w:ascii="Arial" w:cs="Arial" w:eastAsia="Arial" w:hAnsi="Arial"/>
          <w:sz w:val="22"/>
          <w:szCs w:val="22"/>
        </w:rPr>
        <w:t xml:space="preserve">Cross-functional meeting where engineering demos what shipped, customer success shares adoption data, and sales shares win/loss trends. Keeps everyone aligned.</w:t>
      </w:r>
    </w:p>
    <w:p>
      <w:pPr>
        <w:pStyle w:val="ListParagraph"/>
        <w:numPr>
          <w:ilvl w:val="0"/>
          <w:numId w:val="2"/>
        </w:numPr>
        <w:spacing w:after="80"/>
      </w:pPr>
      <w:r>
        <w:rPr>
          <w:rFonts w:ascii="Arial" w:cs="Arial" w:eastAsia="Arial" w:hAnsi="Arial"/>
          <w:b/>
          <w:bCs/>
          <w:sz w:val="22"/>
          <w:szCs w:val="22"/>
        </w:rPr>
        <w:t xml:space="preserve">Incident Retrospectives: </w:t>
      </w:r>
      <w:r>
        <w:rPr>
          <w:rFonts w:ascii="Arial" w:cs="Arial" w:eastAsia="Arial" w:hAnsi="Arial"/>
          <w:sz w:val="22"/>
          <w:szCs w:val="22"/>
        </w:rPr>
        <w:t xml:space="preserve">When something goes wrong (customer-facing bug, outage, security issue), do a blameless retro and publish the writeup internally. Build a culture of learning.</w:t>
      </w:r>
    </w:p>
    <w:p>
      <w:pPr>
        <w:pStyle w:val="Heading2"/>
      </w:pPr>
      <w:r>
        <w:rPr>
          <w:rFonts w:ascii="Arial" w:cs="Arial" w:eastAsia="Arial" w:hAnsi="Arial"/>
        </w:rPr>
        <w:t xml:space="preserve">6. Internal Automation &amp; Efficiency</w:t>
      </w:r>
    </w:p>
    <w:p>
      <w:pPr>
        <w:pStyle w:val="ListParagraph"/>
        <w:numPr>
          <w:ilvl w:val="0"/>
          <w:numId w:val="2"/>
        </w:numPr>
        <w:spacing w:after="80"/>
      </w:pPr>
      <w:r>
        <w:rPr>
          <w:rFonts w:ascii="Arial" w:cs="Arial" w:eastAsia="Arial" w:hAnsi="Arial"/>
          <w:b/>
          <w:bCs/>
          <w:sz w:val="22"/>
          <w:szCs w:val="22"/>
        </w:rPr>
        <w:t xml:space="preserve">Customer Onboarding Automation: </w:t>
      </w:r>
      <w:r>
        <w:rPr>
          <w:rFonts w:ascii="Arial" w:cs="Arial" w:eastAsia="Arial" w:hAnsi="Arial"/>
          <w:sz w:val="22"/>
          <w:szCs w:val="22"/>
        </w:rPr>
        <w:t xml:space="preserve">When a new tenant signs up, automatically trigger: welcome email sequence, scheduled kickoff meeting, pre-populated demo data, and assigned customer success manager.</w:t>
      </w:r>
    </w:p>
    <w:p>
      <w:pPr>
        <w:pStyle w:val="ListParagraph"/>
        <w:numPr>
          <w:ilvl w:val="0"/>
          <w:numId w:val="2"/>
        </w:numPr>
        <w:spacing w:after="80"/>
      </w:pPr>
      <w:r>
        <w:rPr>
          <w:rFonts w:ascii="Arial" w:cs="Arial" w:eastAsia="Arial" w:hAnsi="Arial"/>
          <w:b/>
          <w:bCs/>
          <w:sz w:val="22"/>
          <w:szCs w:val="22"/>
        </w:rPr>
        <w:t xml:space="preserve">Renewal &amp; Health Alerts: </w:t>
      </w:r>
      <w:r>
        <w:rPr>
          <w:rFonts w:ascii="Arial" w:cs="Arial" w:eastAsia="Arial" w:hAnsi="Arial"/>
          <w:sz w:val="22"/>
          <w:szCs w:val="22"/>
        </w:rPr>
        <w:t xml:space="preserve">Automated alerts to customer success when a contract renewal is approaching, usage drops below threshold, or a customer hasn’t logged in for 14+ days.</w:t>
      </w:r>
    </w:p>
    <w:p>
      <w:pPr>
        <w:pStyle w:val="ListParagraph"/>
        <w:numPr>
          <w:ilvl w:val="0"/>
          <w:numId w:val="2"/>
        </w:numPr>
        <w:spacing w:after="80"/>
      </w:pPr>
      <w:r>
        <w:rPr>
          <w:rFonts w:ascii="Arial" w:cs="Arial" w:eastAsia="Arial" w:hAnsi="Arial"/>
          <w:b/>
          <w:bCs/>
          <w:sz w:val="22"/>
          <w:szCs w:val="22"/>
        </w:rPr>
        <w:t xml:space="preserve">Compliance Update Workflow: </w:t>
      </w:r>
      <w:r>
        <w:rPr>
          <w:rFonts w:ascii="Arial" w:cs="Arial" w:eastAsia="Arial" w:hAnsi="Arial"/>
          <w:sz w:val="22"/>
          <w:szCs w:val="22"/>
        </w:rPr>
        <w:t xml:space="preserve">When a new regulation is identified, trigger a workflow: regulatory analyst reviews → product manager assesses impact → engineer implements control update → customer communication drafted.</w:t>
      </w:r>
    </w:p>
    <w:p>
      <w:pPr>
        <w:pStyle w:val="ListParagraph"/>
        <w:numPr>
          <w:ilvl w:val="0"/>
          <w:numId w:val="2"/>
        </w:numPr>
        <w:spacing w:after="80"/>
      </w:pPr>
      <w:r>
        <w:rPr>
          <w:rFonts w:ascii="Arial" w:cs="Arial" w:eastAsia="Arial" w:hAnsi="Arial"/>
          <w:b/>
          <w:bCs/>
          <w:sz w:val="22"/>
          <w:szCs w:val="22"/>
        </w:rPr>
        <w:t xml:space="preserve">Content Pipeline: </w:t>
      </w:r>
      <w:r>
        <w:rPr>
          <w:rFonts w:ascii="Arial" w:cs="Arial" w:eastAsia="Arial" w:hAnsi="Arial"/>
          <w:sz w:val="22"/>
          <w:szCs w:val="22"/>
        </w:rPr>
        <w:t xml:space="preserve">Automate the creation of blog posts, regulatory update emails, and social media content from your regulatory monitoring feed. Your regulatory intelligence becomes a content engine.</w:t>
      </w:r>
    </w:p>
    <w:p>
      <w:r>
        <w:br w:type="page"/>
      </w:r>
    </w:p>
    <w:p>
      <w:pPr>
        <w:pStyle w:val="Heading1"/>
      </w:pPr>
      <w:r>
        <w:rPr>
          <w:rFonts w:ascii="Arial" w:cs="Arial" w:eastAsia="Arial" w:hAnsi="Arial"/>
        </w:rPr>
        <w:t xml:space="preserve">Priority Implementation Matrix</w:t>
      </w:r>
    </w:p>
    <w:p>
      <w:pPr>
        <w:spacing w:after="120"/>
      </w:pPr>
      <w:r>
        <w:rPr>
          <w:rFonts w:ascii="Arial" w:cs="Arial" w:eastAsia="Arial" w:hAnsi="Arial"/>
          <w:sz w:val="22"/>
          <w:szCs w:val="22"/>
        </w:rPr>
        <w:t xml:space="preserve">Organized by impact and effort to help you sequence these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Addition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Onboarding Wizard</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Very High — accelerates adoption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Medium (2–3 weeks)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Customer Knowledge Base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Very High — reduces support load</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Medium (ongoing)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Audit-Ready Reports</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Very High — key differentiator</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High (3–4 weeks)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In-App Tooltips</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High — reduces learning curve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 (1–2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Knowledge Base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scales the team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(start immediately)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engineering velocity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(1–2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Dashboard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customer visibility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(2–3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Onboarding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reduces ramp 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(documentation)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Training &amp; Certification</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 — long-term retention</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(4–6 weeks)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Customer Community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 — builds moat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 (start with forum)</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AI-Powered Assistant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 — differentiation</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(3–4 weeks)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Benchmark Reports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 — peer comparison</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 (needs data volume)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Flag System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dev flexibility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(1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Self-Service Portal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reduces ops load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(2–3 weeks)</w:t>
            </w:r>
          </w:p>
        </w:tc>
      </w:tr>
    </w:tbl>
    <w:p>
      <w:pPr>
        <w:spacing w:before="300"/>
      </w:pPr>
    </w:p>
    <w:p>
      <w:pPr>
        <w:pStyle w:val="Heading2"/>
      </w:pPr>
      <w:r>
        <w:rPr>
          <w:rFonts w:ascii="Arial" w:cs="Arial" w:eastAsia="Arial" w:hAnsi="Arial"/>
        </w:rPr>
        <w:t xml:space="preserve">Recommended Sequence</w:t>
      </w:r>
    </w:p>
    <w:p>
      <w:pPr>
        <w:spacing w:after="120"/>
      </w:pPr>
      <w:r>
        <w:rPr>
          <w:rFonts w:ascii="Arial" w:cs="Arial" w:eastAsia="Arial" w:hAnsi="Arial"/>
          <w:sz w:val="22"/>
          <w:szCs w:val="22"/>
        </w:rPr>
        <w:t xml:space="preserve">Start with the green-highlighted items — they deliver the highest customer impact. Simultaneously, begin the internal knowledge base and CI/CD pipeline to accelerate everything that follows. The certification program and AI assistant are powerful differentiators but require more investment; plan these for the second quarter.</w:t>
      </w:r>
    </w:p>
    <w:p>
      <w:pPr>
        <w:spacing w:before="200"/>
      </w:pPr>
    </w:p>
    <w:p>
      <w:pPr>
        <w:spacing w:after="120"/>
      </w:pPr>
      <w:r>
        <w:rPr>
          <w:rFonts w:ascii="Arial" w:cs="Arial" w:eastAsia="Arial" w:hAnsi="Arial"/>
          <w:sz w:val="22"/>
          <w:szCs w:val="22"/>
        </w:rPr>
        <w:t xml:space="preserve">The common thread across all of these additions: governance is a team sport, and both your customers and your employees need the right tools, training, and information to play it well. Invest in enablement on both sides, and ForgeAI Govern becomes sticky — not just a tool, but the operating system for healthcare AI governance.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Forge Cyber Defense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ForgeAI Govern™ — Customer &amp; Employee Support Additions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2026-02-17T20:37:53.674Z</dcterms:created>
  <dcterms:modified xsi:type="dcterms:W3CDTF">2026-02-17T20:37:53.675Z</dcterms:modified>
</cp:coreProperties>
</file>

<file path=docProps/custom.xml><?xml version="1.0" encoding="utf-8"?>
<Properties xmlns="http://schemas.openxmlformats.org/officeDocument/2006/custom-properties" xmlns:vt="http://schemas.openxmlformats.org/officeDocument/2006/docPropsVTypes"/>
</file>