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56"/>
          <w:szCs w:val="56"/>
        </w:rPr>
        <w:t xml:space="preserve">BALANCEBOOKS PRO</w:t>
      </w:r>
    </w:p>
    <w:p>
      <w:pPr>
        <w:spacing w:after="100"/>
        <w:jc w:val="center"/>
      </w:pPr>
      <w:r>
        <w:rPr>
          <w:rFonts w:ascii="Arial" w:cs="Arial" w:eastAsia="Arial" w:hAnsi="Arial"/>
          <w:color w:val="14B8A6"/>
          <w:sz w:val="36"/>
          <w:szCs w:val="36"/>
        </w:rPr>
        <w:t xml:space="preserve">Enhancement Recommendations</w:t>
      </w:r>
    </w:p>
    <w:p>
      <w:pPr>
        <w:pBdr>
          <w:bottom w:val="single" w:color="14B8A6" w:sz="6" w:space="1"/>
        </w:pBdr>
        <w:spacing w:after="400"/>
        <w:jc w:val="center"/>
      </w:pPr>
    </w:p>
    <w:p>
      <w:pPr>
        <w:spacing w:after="100"/>
        <w:jc w:val="center"/>
      </w:pPr>
      <w:r>
        <w:rPr>
          <w:rFonts w:ascii="Arial" w:cs="Arial" w:eastAsia="Arial" w:hAnsi="Arial"/>
          <w:color w:val="475569"/>
          <w:sz w:val="28"/>
          <w:szCs w:val="28"/>
        </w:rPr>
        <w:t xml:space="preserve">Strategic Roadmap for v2.0+</w:t>
      </w:r>
    </w:p>
    <w:p>
      <w:pPr>
        <w:spacing w:after="100"/>
        <w:jc w:val="center"/>
      </w:pPr>
      <w:r>
        <w:rPr>
          <w:rFonts w:ascii="Arial" w:cs="Arial" w:eastAsia="Arial" w:hAnsi="Arial"/>
          <w:color w:val="475569"/>
          <w:sz w:val="22"/>
          <w:szCs w:val="22"/>
        </w:rPr>
        <w:t xml:space="preserve">Prepared: March 2026</w:t>
      </w:r>
    </w:p>
    <w:p>
      <w:pPr>
        <w:spacing w:after="100"/>
        <w:jc w:val="center"/>
      </w:pPr>
      <w:r>
        <w:rPr>
          <w:rFonts w:ascii="Arial" w:cs="Arial" w:eastAsia="Arial" w:hAnsi="Arial"/>
          <w:color w:val="14B8A6"/>
          <w:sz w:val="20"/>
          <w:szCs w:val="20"/>
        </w:rPr>
        <w:t xml:space="preserve">Repository: github.com/Bjay0727-jay/balancebooks-pro</w:t>
      </w:r>
    </w:p>
    <w:p>
      <w:pPr>
        <w:spacing w:before="600"/>
        <w:jc w:val="center"/>
      </w:pPr>
      <w:r>
        <w:rPr>
          <w:rFonts w:ascii="Arial" w:cs="Arial" w:eastAsia="Arial" w:hAnsi="Arial"/>
          <w:b/>
          <w:bCs/>
          <w:color w:val="94A3B8"/>
          <w:sz w:val="18"/>
          <w:szCs w:val="18"/>
        </w:rPr>
        <w:t xml:space="preserve">CONFIDENTIAL — INTERNAL USE</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BalanceBooks Pro has reached a solid foundation at v1.7.1 with comprehensive personal finance features, privacy-first architecture, and cross-platform deployment via Electron. This document identifies </w:t>
      </w:r>
      <w:r>
        <w:rPr>
          <w:b/>
          <w:bCs/>
          <w:color w:val="14B8A6"/>
        </w:rPr>
        <w:t xml:space="preserve">14 strategic enhancements</w:t>
      </w:r>
      <w:r>
        <w:t xml:space="preserve"> across four categories—Architecture, Features, User Experience, and Business Growth—designed to elevate the product from a capable personal finance tool to a competitive, market-ready application.</w:t>
      </w:r>
    </w:p>
    <w:p>
      <w:pPr>
        <w:spacing w:after="200"/>
      </w:pPr>
      <w:r>
        <w:t xml:space="preserve">The recommendations are prioritized by business impact and engineering effort, with an estimated timeline spanning Q2–Q4 2026. Key themes include migrating the monolithic App.jsx (∼3,000+ lines) into maintainable components, implementing IndexedDB via Dexie for unlimited data capacity, adding multi-account support, and building a recurring transaction auto-generation engine.</w:t>
      </w:r>
    </w:p>
    <w:p>
      <w:pPr>
        <w:pStyle w:val="Heading1"/>
      </w:pPr>
      <w:r>
        <w:t xml:space="preserve">1. Architecture &amp; Code Quality</w:t>
      </w:r>
    </w:p>
    <w:p>
      <w:pPr>
        <w:spacing w:after="160"/>
      </w:pPr>
      <w:r>
        <w:t xml:space="preserve">The current App.jsx is a single monolithic file handling all views, state, and business logic. While functional, this creates maintenance risk and slows feature development. These recommendations address structural debt before it compounds.</w:t>
      </w:r>
    </w:p>
    <w:p>
      <w:pPr>
        <w:pStyle w:val="Heading2"/>
      </w:pPr>
      <w:r>
        <w:t xml:space="preserve">1.1 Component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App.jsx exceeds 3,000 lines with 11+ views, 15+ modal types, and dozens of useMemo/useCallback hooks in a single component. This makes debugging slow, testing impossible, and onboarding new developers painful.</w:t>
      </w:r>
    </w:p>
    <w:p>
      <w:pPr>
        <w:spacing w:after="120"/>
      </w:pPr>
      <w:r>
        <w:rPr>
          <w:b/>
          <w:bCs/>
        </w:rPr>
        <w:t xml:space="preserve">Recommendation: </w:t>
      </w:r>
      <w:r>
        <w:t xml:space="preserve">Extract each view into its own component file under a structured directory:</w:t>
      </w:r>
    </w:p>
    <w:p>
      <w:pPr>
        <w:pStyle w:val="ListParagraph"/>
        <w:numPr>
          <w:ilvl w:val="0"/>
          <w:numId w:val="2"/>
        </w:numPr>
        <w:spacing w:after="60"/>
      </w:pPr>
      <w:r>
        <w:rPr>
          <w:b/>
          <w:bCs/>
          <w:color w:val="14B8A6"/>
        </w:rPr>
        <w:t xml:space="preserve">src/views/</w:t>
      </w:r>
      <w:r>
        <w:t xml:space="preserve"> — Dashboard.jsx, Transactions.jsx, Budget.jsx, Analytics.jsx, Debts.jsx, Recurring.jsx, Settings.jsx, Savings.jsx, Recommendations.jsx</w:t>
      </w:r>
    </w:p>
    <w:p>
      <w:pPr>
        <w:pStyle w:val="ListParagraph"/>
        <w:numPr>
          <w:ilvl w:val="0"/>
          <w:numId w:val="2"/>
        </w:numPr>
        <w:spacing w:after="60"/>
      </w:pPr>
      <w:r>
        <w:rPr>
          <w:b/>
          <w:bCs/>
          <w:color w:val="14B8A6"/>
        </w:rPr>
        <w:t xml:space="preserve">src/components/</w:t>
      </w:r>
      <w:r>
        <w:t xml:space="preserve"> — Modal.jsx, NavItem.jsx, StatCard.jsx, TxForm.jsx, RecurringForm.jsx, DebtForm.jsx</w:t>
      </w:r>
    </w:p>
    <w:p>
      <w:pPr>
        <w:pStyle w:val="ListParagraph"/>
        <w:numPr>
          <w:ilvl w:val="0"/>
          <w:numId w:val="2"/>
        </w:numPr>
        <w:spacing w:after="60"/>
      </w:pPr>
      <w:r>
        <w:rPr>
          <w:b/>
          <w:bCs/>
          <w:color w:val="14B8A6"/>
        </w:rPr>
        <w:t xml:space="preserve">src/hooks/</w:t>
      </w:r>
      <w:r>
        <w:t xml:space="preserve"> — useTransactions.js, useBudget.js, useDebts.js, useDropbox.js, useMediaQuery.js</w:t>
      </w:r>
    </w:p>
    <w:p>
      <w:pPr>
        <w:pStyle w:val="ListParagraph"/>
        <w:numPr>
          <w:ilvl w:val="0"/>
          <w:numId w:val="2"/>
        </w:numPr>
        <w:spacing w:after="120"/>
      </w:pPr>
      <w:r>
        <w:rPr>
          <w:b/>
          <w:bCs/>
          <w:color w:val="14B8A6"/>
        </w:rPr>
        <w:t xml:space="preserve">src/context/</w:t>
      </w:r>
      <w:r>
        <w:t xml:space="preserve"> — AppContext.jsx for shared state via React Context or Zustand</w:t>
      </w:r>
    </w:p>
    <w:p>
      <w:pPr>
        <w:spacing w:after="200"/>
      </w:pPr>
      <w:r>
        <w:rPr>
          <w:b/>
          <w:bCs/>
        </w:rPr>
        <w:t xml:space="preserve">Impact: </w:t>
      </w:r>
      <w:r>
        <w:t xml:space="preserve">Enables parallel development, unit testing per component, faster builds via code splitting, and reduces merge conflicts when multiple developers work simultaneously.</w:t>
      </w:r>
    </w:p>
    <w:p>
      <w:pPr>
        <w:pStyle w:val="Heading2"/>
      </w:pPr>
      <w:r>
        <w:t xml:space="preserve">1.2 IndexedDB Migration via Dexie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All data is stored in localStorage, which has a hard 5–10 MB limit per origin across all major browsers. Power users with 2+ years of transaction history will hit this ceiling, causing silent data loss.</w:t>
      </w:r>
    </w:p>
    <w:p>
      <w:pPr>
        <w:spacing w:after="120"/>
      </w:pPr>
      <w:r>
        <w:rPr>
          <w:b/>
          <w:bCs/>
        </w:rPr>
        <w:t xml:space="preserve">Recommendation: </w:t>
      </w:r>
      <w:r>
        <w:t xml:space="preserve">Migrate to IndexedDB using Dexie.js (already referenced in your memory as part of the tech stack). Create structured tables for transactions, recurring expenses, debts, budget goals, and monthly balances. Implement a one-time migration that reads existing localStorage data, writes it to IndexedDB, and sets a migration flag.</w:t>
      </w:r>
    </w:p>
    <w:p>
      <w:pPr>
        <w:spacing w:after="200"/>
      </w:pPr>
      <w:r>
        <w:rPr>
          <w:b/>
          <w:bCs/>
        </w:rPr>
        <w:t xml:space="preserve">Impact: </w:t>
      </w:r>
      <w:r>
        <w:t xml:space="preserve">Virtually unlimited storage capacity, faster queries on large datasets (IndexedDB supports indexed lookups vs. full JSON parse), and proper data integrity with transactional writes.</w:t>
      </w:r>
    </w:p>
    <w:p>
      <w:pPr>
        <w:pStyle w:val="Heading2"/>
      </w:pPr>
      <w:r>
        <w:t xml:space="preserve">1.3 State Management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App.jsx manages 25+ useState hooks at the top level, causing unnecessary re-renders of the entire component tree on any state change. The current architecture re-computes all useMemo values even when navigating between unrelated views.</w:t>
      </w:r>
    </w:p>
    <w:p>
      <w:pPr>
        <w:spacing w:after="120"/>
      </w:pPr>
      <w:r>
        <w:rPr>
          <w:b/>
          <w:bCs/>
        </w:rPr>
        <w:t xml:space="preserve">Recommendation: </w:t>
      </w:r>
      <w:r>
        <w:t xml:space="preserve">Adopt Zustand (lightweight, ~1KB) or React Context with useReducer to centralize state. Group related state into slices: transactionSlice, budgetSlice, uiSlice, syncSlice. This naturally pairs with the component decomposition in 1.1.</w:t>
      </w:r>
    </w:p>
    <w:p>
      <w:pPr>
        <w:spacing w:after="200"/>
      </w:pPr>
      <w:r>
        <w:rPr>
          <w:b/>
          <w:bCs/>
        </w:rPr>
        <w:t xml:space="preserve">Impact: </w:t>
      </w:r>
      <w:r>
        <w:t xml:space="preserve">Reduced re-renders, cleaner component APIs (no prop drilling), and easier debugging with Zustand devtools or React DevTools.</w:t>
      </w:r>
    </w:p>
    <w:p>
      <w:pPr>
        <w:pStyle w:val="Heading2"/>
      </w:pPr>
      <w:r>
        <w:t xml:space="preserve">1.4 Testing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Zero test coverage. Financial calculations (debt payoff, budget analysis, CSV import parsing) are critical paths where bugs directly impact user trust.</w:t>
      </w:r>
    </w:p>
    <w:p>
      <w:pPr>
        <w:spacing w:after="120"/>
      </w:pPr>
      <w:r>
        <w:rPr>
          <w:b/>
          <w:bCs/>
        </w:rPr>
        <w:t xml:space="preserve">Recommendation: </w:t>
      </w:r>
      <w:r>
        <w:t xml:space="preserve">Implement Vitest (Vite-native test runner) with React Testing Library. Prioritize: (a) unit tests for financial calculations (roundCents, debt payoff calculator, budget analysis), (b) integration tests for import/export flows, and (c) component tests for critical forms (TxForm, DebtForm).</w:t>
      </w:r>
    </w:p>
    <w:p>
      <w:pPr>
        <w:spacing w:after="200"/>
      </w:pPr>
      <w:r>
        <w:rPr>
          <w:b/>
          <w:bCs/>
        </w:rPr>
        <w:t xml:space="preserve">Impact: </w:t>
      </w:r>
      <w:r>
        <w:t xml:space="preserve">Catch regressions before release, enable confident refactoring during the component decomposition, and build a quality foundation for the trucking product.</w:t>
      </w:r>
    </w:p>
    <w:p>
      <w:r>
        <w:br w:type="page"/>
      </w:r>
    </w:p>
    <w:p>
      <w:pPr>
        <w:pStyle w:val="Heading1"/>
      </w:pPr>
      <w:r>
        <w:t xml:space="preserve">2. Feature Enhancements</w:t>
      </w:r>
    </w:p>
    <w:p>
      <w:pPr>
        <w:pStyle w:val="Heading2"/>
      </w:pPr>
      <w:r>
        <w:t xml:space="preserve">2.1 Recurring Transaction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Recurring expenses exist as templates but require manual “Create transaction” clicks each month. Users forget, leading to incomplete monthly data and inaccurate budget tracking.</w:t>
      </w:r>
    </w:p>
    <w:p>
      <w:pPr>
        <w:spacing w:after="120"/>
      </w:pPr>
      <w:r>
        <w:rPr>
          <w:b/>
          <w:bCs/>
        </w:rPr>
        <w:t xml:space="preserve">Recommendation: </w:t>
      </w:r>
      <w:r>
        <w:t xml:space="preserve">Build an auto-generation engine that runs on app load. For each active recurring expense, check if the current month already has a matching transaction (by name + category + month). If not, auto-create one dated to the dueDay. Mark auto-generated transactions with an “auto” flag for visibility.</w:t>
      </w:r>
    </w:p>
    <w:p>
      <w:pPr>
        <w:spacing w:after="200"/>
      </w:pPr>
      <w:r>
        <w:rPr>
          <w:b/>
          <w:bCs/>
        </w:rPr>
        <w:t xml:space="preserve">Impact: </w:t>
      </w:r>
      <w:r>
        <w:t xml:space="preserve">Eliminates manual entry for fixed costs, ensures budget tracking accuracy, and makes the app feel intelligent rather than passive.</w:t>
      </w:r>
    </w:p>
    <w:p>
      <w:pPr>
        <w:pStyle w:val="Heading2"/>
      </w:pPr>
      <w:r>
        <w:t xml:space="preserve">2.2 Multi-Account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High</w:t>
            </w:r>
          </w:p>
        </w:tc>
      </w:tr>
    </w:tbl>
    <w:p>
      <w:pPr>
        <w:spacing w:after="120"/>
      </w:pPr>
      <w:r>
        <w:rPr>
          <w:b/>
          <w:bCs/>
        </w:rPr>
        <w:t xml:space="preserve">Problem: </w:t>
      </w:r>
      <w:r>
        <w:t xml:space="preserve">Users with checking, savings, and credit card accounts have no way to track which account a transaction belongs to. The single beginning/ending balance model doesn’t reflect real financial life.</w:t>
      </w:r>
    </w:p>
    <w:p>
      <w:pPr>
        <w:spacing w:after="120"/>
      </w:pPr>
      <w:r>
        <w:rPr>
          <w:b/>
          <w:bCs/>
        </w:rPr>
        <w:t xml:space="preserve">Recommendation: </w:t>
      </w:r>
      <w:r>
        <w:t xml:space="preserve">Add an “account” field to each transaction with a default “Primary” account. Let users create accounts (Checking, Savings, Credit Card, Cash) each with their own balance. The dashboard shows a consolidated view by default with per-account drill-down.</w:t>
      </w:r>
    </w:p>
    <w:p>
      <w:pPr>
        <w:spacing w:after="200"/>
      </w:pPr>
      <w:r>
        <w:rPr>
          <w:b/>
          <w:bCs/>
        </w:rPr>
        <w:t xml:space="preserve">Impact: </w:t>
      </w:r>
      <w:r>
        <w:t xml:space="preserve">Transforms BalanceBooks from a simple tracker into a real financial dashboard, directly competing with Mint/YNAB for users who value privacy.</w:t>
      </w:r>
    </w:p>
    <w:p>
      <w:pPr>
        <w:pStyle w:val="Heading2"/>
      </w:pPr>
      <w:r>
        <w:t xml:space="preserve">2.3 Split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A $150 Walmart purchase that includes $100 groceries and $50 household items can only be categorized as one thing, reducing budget accuracy.</w:t>
      </w:r>
    </w:p>
    <w:p>
      <w:pPr>
        <w:spacing w:after="120"/>
      </w:pPr>
      <w:r>
        <w:rPr>
          <w:b/>
          <w:bCs/>
        </w:rPr>
        <w:t xml:space="preserve">Recommendation: </w:t>
      </w:r>
      <w:r>
        <w:t xml:space="preserve">Allow a single transaction to be split into multiple category allocations. Store splits as an array on the transaction object: splits: [{category: 'groceries', amount: 100}, {category: 'shopping', amount: 50}]. The budget engine should sum splits by category rather than using the parent’s category.</w:t>
      </w:r>
    </w:p>
    <w:p>
      <w:pPr>
        <w:spacing w:after="200"/>
      </w:pPr>
      <w:r>
        <w:rPr>
          <w:b/>
          <w:bCs/>
        </w:rPr>
        <w:t xml:space="preserve">Impact: </w:t>
      </w:r>
      <w:r>
        <w:t xml:space="preserve">More accurate budget tracking, especially for big-box store purchases that span multiple categories.</w:t>
      </w:r>
    </w:p>
    <w:p>
      <w:pPr>
        <w:pStyle w:val="Heading2"/>
      </w:pPr>
      <w:r>
        <w:t xml:space="preserve">2.4 Search &amp; Filter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Transaction search is text-only and limited to the current filter set. Users can’t search by amount range, date range, or combine multiple criteria.</w:t>
      </w:r>
    </w:p>
    <w:p>
      <w:pPr>
        <w:spacing w:after="120"/>
      </w:pPr>
      <w:r>
        <w:rPr>
          <w:b/>
          <w:bCs/>
        </w:rPr>
        <w:t xml:space="preserve">Recommendation: </w:t>
      </w:r>
      <w:r>
        <w:t xml:space="preserve">Add amount range filters (min/max), date range picker, and “search all months” toggle. Implement a saved filters feature so users can bookmark common queries like “all unpaid bills over $100.”</w:t>
      </w:r>
    </w:p>
    <w:p>
      <w:pPr>
        <w:spacing w:after="200"/>
      </w:pPr>
      <w:r>
        <w:rPr>
          <w:b/>
          <w:bCs/>
        </w:rPr>
        <w:t xml:space="preserve">Impact: </w:t>
      </w:r>
      <w:r>
        <w:t xml:space="preserve">Power users can quickly find specific transactions across their entire history, which becomes critical as data volume grows.</w:t>
      </w:r>
    </w:p>
    <w:p>
      <w:pPr>
        <w:pStyle w:val="Heading2"/>
      </w:pPr>
      <w:r>
        <w:t xml:space="preserve">2.5 Data Visualization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The current analytics use hand-built SVG bar charts and a basic pie chart. They lack interactivity, tooltips, and trend line capabilities.</w:t>
      </w:r>
    </w:p>
    <w:p>
      <w:pPr>
        <w:spacing w:after="120"/>
      </w:pPr>
      <w:r>
        <w:rPr>
          <w:b/>
          <w:bCs/>
        </w:rPr>
        <w:t xml:space="preserve">Recommendation: </w:t>
      </w:r>
      <w:r>
        <w:t xml:space="preserve">Integrate Recharts (already available in your React environment) for interactive charts with hover tooltips, click-to-filter, and responsive sizing. Add: income vs. expense area charts, category spending heatmaps by month, and a net worth trend line over time.</w:t>
      </w:r>
    </w:p>
    <w:p>
      <w:pPr>
        <w:spacing w:after="200"/>
      </w:pPr>
      <w:r>
        <w:rPr>
          <w:b/>
          <w:bCs/>
        </w:rPr>
        <w:t xml:space="preserve">Impact: </w:t>
      </w:r>
      <w:r>
        <w:t xml:space="preserve">Professional-grade visualization creates a premium feel and helps users understand financial patterns they’d otherwise miss.</w:t>
      </w:r>
    </w:p>
    <w:p>
      <w:r>
        <w:br w:type="page"/>
      </w:r>
    </w:p>
    <w:p>
      <w:pPr>
        <w:pStyle w:val="Heading1"/>
      </w:pPr>
      <w:r>
        <w:t xml:space="preserve">3. User Experience</w:t>
      </w:r>
    </w:p>
    <w:p>
      <w:pPr>
        <w:pStyle w:val="Heading2"/>
      </w:pPr>
      <w:r>
        <w:t xml:space="preserve">3.1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New users land on an empty dashboard with no guidance. They must discover features by clicking around, and there’s no prompt to set a beginning balance or import existing data.</w:t>
      </w:r>
    </w:p>
    <w:p>
      <w:pPr>
        <w:spacing w:after="120"/>
      </w:pPr>
      <w:r>
        <w:rPr>
          <w:b/>
          <w:bCs/>
        </w:rPr>
        <w:t xml:space="preserve">Recommendation: </w:t>
      </w:r>
      <w:r>
        <w:t xml:space="preserve">Create a 3-step onboarding wizard that appears on first launch: (1) Set beginning balance, (2) Import existing data or start fresh, (3) Set your first budget goal. Include skip options and a “Show me around” tooltip tour for the sidebar navigation.</w:t>
      </w:r>
    </w:p>
    <w:p>
      <w:pPr>
        <w:spacing w:after="200"/>
      </w:pPr>
      <w:r>
        <w:rPr>
          <w:b/>
          <w:bCs/>
        </w:rPr>
        <w:t xml:space="preserve">Impact: </w:t>
      </w:r>
      <w:r>
        <w:t xml:space="preserve">Reduces time-to-value from minutes to seconds, improves retention, and ensures users start with accurate data.</w:t>
      </w:r>
    </w:p>
    <w:p>
      <w:pPr>
        <w:pStyle w:val="Heading2"/>
      </w:pPr>
      <w:r>
        <w:t xml:space="preserve">3.2 Keyboard Shortcuts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Desktop users have no keyboard shortcuts. The modal focus trap is implemented but ARIA labels are inconsistent, and color contrast ratios may not meet WCAG 2.1 AA standards in several gradient elements.</w:t>
      </w:r>
    </w:p>
    <w:p>
      <w:pPr>
        <w:spacing w:after="120"/>
      </w:pPr>
      <w:r>
        <w:rPr>
          <w:b/>
          <w:bCs/>
        </w:rPr>
        <w:t xml:space="preserve">Recommendation: </w:t>
      </w:r>
      <w:r>
        <w:t xml:space="preserve">Add keyboard shortcuts: N for new transaction, / for search, arrow keys for month navigation, Escape to close modals. Run an accessibility audit (axe-core) and fix contrast issues—particularly the teal-on-white text combinations. Add aria-label to all icon-only buttons.</w:t>
      </w:r>
    </w:p>
    <w:p>
      <w:pPr>
        <w:spacing w:after="200"/>
      </w:pPr>
      <w:r>
        <w:rPr>
          <w:b/>
          <w:bCs/>
        </w:rPr>
        <w:t xml:space="preserve">Impact: </w:t>
      </w:r>
      <w:r>
        <w:t xml:space="preserve">Improves usability for power users and ensures compliance with accessibility standards, expanding the addressable market.</w:t>
      </w:r>
    </w:p>
    <w:p>
      <w:pPr>
        <w:pStyle w:val="Heading2"/>
      </w:pPr>
      <w:r>
        <w:t xml:space="preserve">3.3 Offline-First PWA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While the app works offline after initial load, there’s no service worker for true offline-first behavior, and the PWA manifest may need updates for the latest install prompts on iOS/Android.</w:t>
      </w:r>
    </w:p>
    <w:p>
      <w:pPr>
        <w:spacing w:after="120"/>
      </w:pPr>
      <w:r>
        <w:rPr>
          <w:b/>
          <w:bCs/>
        </w:rPr>
        <w:t xml:space="preserve">Recommendation: </w:t>
      </w:r>
      <w:r>
        <w:t xml:space="preserve">Add Vite PWA plugin (vite-plugin-pwa) with a Workbox service worker for cache-first asset loading. Implement a visible “Update available” banner when new versions are detected. Ensure the web manifest includes proper icons, theme colors, and screenshots for the install dialog.</w:t>
      </w:r>
    </w:p>
    <w:p>
      <w:pPr>
        <w:spacing w:after="200"/>
      </w:pPr>
      <w:r>
        <w:rPr>
          <w:b/>
          <w:bCs/>
        </w:rPr>
        <w:t xml:space="preserve">Impact: </w:t>
      </w:r>
      <w:r>
        <w:t xml:space="preserve">True offline reliability, instant loading on return visits, and a native app-like experience on mobile devices.</w:t>
      </w:r>
    </w:p>
    <w:p>
      <w:r>
        <w:br w:type="page"/>
      </w:r>
    </w:p>
    <w:p>
      <w:pPr>
        <w:pStyle w:val="Heading1"/>
      </w:pPr>
      <w:r>
        <w:t xml:space="preserve">4. Business &amp; Growth</w:t>
      </w:r>
    </w:p>
    <w:p>
      <w:pPr>
        <w:pStyle w:val="Heading2"/>
      </w:pPr>
      <w:r>
        <w:t xml:space="preserve">4.1 Dropbox Sync: Migrate to PKCE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E2E2"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C2626"/>
                <w:sz w:val="18"/>
                <w:szCs w:val="18"/>
              </w:rPr>
              <w:t xml:space="preserve">CRITICAL</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Q2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The code contains a TODO comment acknowledging that the implicit OAuth flow (response_type=token) is deprecated by Dropbox. This flow is less secure and Dropbox may disable it at any time, breaking cloud backup for all users.</w:t>
      </w:r>
    </w:p>
    <w:p>
      <w:pPr>
        <w:spacing w:after="120"/>
      </w:pPr>
      <w:r>
        <w:rPr>
          <w:b/>
          <w:bCs/>
        </w:rPr>
        <w:t xml:space="preserve">Recommendation: </w:t>
      </w:r>
      <w:r>
        <w:t xml:space="preserve">Migrate to Authorization Code flow with PKCE (Proof Key for Code Exchange). This is the industry standard for SPAs and doesn’t require a backend server. Use the Dropbox JavaScript SDK v10+ which has built-in PKCE support.</w:t>
      </w:r>
    </w:p>
    <w:p>
      <w:pPr>
        <w:spacing w:after="200"/>
      </w:pPr>
      <w:r>
        <w:rPr>
          <w:b/>
          <w:bCs/>
        </w:rPr>
        <w:t xml:space="preserve">Impact: </w:t>
      </w:r>
      <w:r>
        <w:t xml:space="preserve">Prevents a breaking change from disrupting your most critical feature differentiator (cloud backup to user’s own Dropbox). Also improves security posture for enterprise-minded users.</w:t>
      </w:r>
    </w:p>
    <w:p>
      <w:pPr>
        <w:pStyle w:val="Heading2"/>
      </w:pPr>
      <w:r>
        <w:t xml:space="preserve">4.2 LemonSqueezy License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EF3C7"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D97706"/>
                <w:sz w:val="18"/>
                <w:szCs w:val="18"/>
              </w:rPr>
              <w:t xml:space="preserve">HIGH</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Medium</w:t>
            </w:r>
          </w:p>
        </w:tc>
      </w:tr>
    </w:tbl>
    <w:p>
      <w:pPr>
        <w:spacing w:after="120"/>
      </w:pPr>
      <w:r>
        <w:rPr>
          <w:b/>
          <w:bCs/>
        </w:rPr>
        <w:t xml:space="preserve">Problem: </w:t>
      </w:r>
      <w:r>
        <w:t xml:space="preserve">The app is fully functional without license validation. While a founding member pricing strategy is in place ($49.99 lifetime / $29.99 founding), there’s no in-app mechanism to enforce licensing or gate premium features.</w:t>
      </w:r>
    </w:p>
    <w:p>
      <w:pPr>
        <w:spacing w:after="120"/>
      </w:pPr>
      <w:r>
        <w:rPr>
          <w:b/>
          <w:bCs/>
        </w:rPr>
        <w:t xml:space="preserve">Recommendation: </w:t>
      </w:r>
      <w:r>
        <w:t xml:space="preserve">Implement a free tier vs. Pro tier model: Free gets core transaction tracking (up to 100 transactions/month), budget basics, and CSV export. Pro unlocks unlimited transactions, Dropbox sync, debt payoff planner, advanced analytics, and priority support. Gate via LemonSqueezy license key validation on app launch.</w:t>
      </w:r>
    </w:p>
    <w:p>
      <w:pPr>
        <w:spacing w:after="200"/>
      </w:pPr>
      <w:r>
        <w:rPr>
          <w:b/>
          <w:bCs/>
        </w:rPr>
        <w:t xml:space="preserve">Impact: </w:t>
      </w:r>
      <w:r>
        <w:t xml:space="preserve">Creates a conversion funnel from free users to paid, validates market demand before heavy marketing spend, and establishes recurring revenue potential for the annual trucking product.</w:t>
      </w:r>
    </w:p>
    <w:p>
      <w:pPr>
        <w:pStyle w:val="Heading2"/>
      </w:pPr>
      <w:r>
        <w:t xml:space="preserve">4.3 Analytics &amp; Telemetry (Privacy-Respecting)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AF5" w:val="clear"/>
            <w:tcMar>
              <w:top w:type="dxa" w:w="60"/>
              <w:left w:type="dxa" w:w="120"/>
              <w:bottom w:type="dxa" w:w="60"/>
              <w:right w:type="dxa" w:w="120"/>
            </w:tcMar>
          </w:tcPr>
          <w:p>
            <w:r>
              <w:rPr>
                <w:rFonts w:ascii="Arial" w:cs="Arial" w:eastAsia="Arial" w:hAnsi="Arial"/>
                <w:color w:val="475569"/>
                <w:sz w:val="18"/>
                <w:szCs w:val="18"/>
              </w:rPr>
              <w:t xml:space="preserve">Priority: </w:t>
            </w:r>
            <w:r>
              <w:rPr>
                <w:rFonts w:ascii="Arial" w:cs="Arial" w:eastAsia="Arial" w:hAnsi="Arial"/>
                <w:b/>
                <w:bCs/>
                <w:color w:val="14B8A6"/>
                <w:sz w:val="18"/>
                <w:szCs w:val="18"/>
              </w:rPr>
              <w:t xml:space="preserve">MEDIUM</w:t>
            </w:r>
          </w:p>
        </w:tc>
        <w:tc>
          <w:tcPr>
            <w:tcW w:type="dxa" w:w="3120"/>
            <w:tcBorders>
              <w:top w:val="none"/>
              <w:left w:val="none"/>
              <w:bottom w:val="none"/>
              <w:right w:val="none"/>
            </w:tcBorders>
            <w:shd w:fill="E8EDF3" w:val="clear"/>
            <w:tcMar>
              <w:top w:type="dxa" w:w="60"/>
              <w:left w:type="dxa" w:w="120"/>
              <w:bottom w:type="dxa" w:w="60"/>
              <w:right w:type="dxa" w:w="120"/>
            </w:tcMar>
          </w:tcPr>
          <w:p>
            <w:r>
              <w:rPr>
                <w:rFonts w:ascii="Arial" w:cs="Arial" w:eastAsia="Arial" w:hAnsi="Arial"/>
                <w:color w:val="475569"/>
                <w:sz w:val="18"/>
                <w:szCs w:val="18"/>
              </w:rPr>
              <w:t xml:space="preserve">Timeline: </w:t>
            </w:r>
            <w:r>
              <w:rPr>
                <w:rFonts w:ascii="Arial" w:cs="Arial" w:eastAsia="Arial" w:hAnsi="Arial"/>
                <w:b/>
                <w:bCs/>
                <w:color w:val="1E3A5F"/>
                <w:sz w:val="18"/>
                <w:szCs w:val="18"/>
              </w:rPr>
              <w:t xml:space="preserve">Q3 2026</w:t>
            </w:r>
          </w:p>
        </w:tc>
        <w:tc>
          <w:tcPr>
            <w:tcW w:type="dxa" w:w="3120"/>
            <w:tcBorders>
              <w:top w:val="none"/>
              <w:left w:val="none"/>
              <w:bottom w:val="none"/>
              <w:right w:val="none"/>
            </w:tcBorders>
            <w:shd w:fill="F8FAFC" w:val="clear"/>
            <w:tcMar>
              <w:top w:type="dxa" w:w="60"/>
              <w:left w:type="dxa" w:w="120"/>
              <w:bottom w:type="dxa" w:w="60"/>
              <w:right w:type="dxa" w:w="120"/>
            </w:tcMar>
          </w:tcPr>
          <w:p>
            <w:r>
              <w:rPr>
                <w:rFonts w:ascii="Arial" w:cs="Arial" w:eastAsia="Arial" w:hAnsi="Arial"/>
                <w:color w:val="475569"/>
                <w:sz w:val="18"/>
                <w:szCs w:val="18"/>
              </w:rPr>
              <w:t xml:space="preserve">Effort: </w:t>
            </w:r>
            <w:r>
              <w:rPr>
                <w:rFonts w:ascii="Arial" w:cs="Arial" w:eastAsia="Arial" w:hAnsi="Arial"/>
                <w:b/>
                <w:bCs/>
                <w:color w:val="1E293B"/>
                <w:sz w:val="18"/>
                <w:szCs w:val="18"/>
              </w:rPr>
              <w:t xml:space="preserve">Low</w:t>
            </w:r>
          </w:p>
        </w:tc>
      </w:tr>
    </w:tbl>
    <w:p>
      <w:pPr>
        <w:spacing w:after="120"/>
      </w:pPr>
      <w:r>
        <w:rPr>
          <w:b/>
          <w:bCs/>
        </w:rPr>
        <w:t xml:space="preserve">Problem: </w:t>
      </w:r>
      <w:r>
        <w:t xml:space="preserve">No visibility into which features users actually use, where they drop off, or what causes errors. Product decisions are based on assumption rather than data.</w:t>
      </w:r>
    </w:p>
    <w:p>
      <w:pPr>
        <w:spacing w:after="120"/>
      </w:pPr>
      <w:r>
        <w:rPr>
          <w:b/>
          <w:bCs/>
        </w:rPr>
        <w:t xml:space="preserve">Recommendation: </w:t>
      </w:r>
      <w:r>
        <w:t xml:space="preserve">Implement privacy-respecting analytics using Plausible or PostHog (self-hosted). Track only: feature usage counts (views visited, buttons clicked), error rates, and session duration. Never track financial data. Make this opt-in with a clear toggle in Settings, honoring the privacy-first brand.</w:t>
      </w:r>
    </w:p>
    <w:p>
      <w:pPr>
        <w:spacing w:after="200"/>
      </w:pPr>
      <w:r>
        <w:rPr>
          <w:b/>
          <w:bCs/>
        </w:rPr>
        <w:t xml:space="preserve">Impact: </w:t>
      </w:r>
      <w:r>
        <w:t xml:space="preserve">Data-driven product decisions, faster identification of bugs in production, and evidence for which features to prioritize in future releases.</w:t>
      </w:r>
    </w:p>
    <w:p>
      <w:r>
        <w:br w:type="page"/>
      </w:r>
    </w:p>
    <w:p>
      <w:pPr>
        <w:pStyle w:val="Heading1"/>
      </w:pPr>
      <w:r>
        <w:t xml:space="preserve">5. Implementation Priority Matrix</w:t>
      </w:r>
    </w:p>
    <w:p>
      <w:pPr>
        <w:spacing w:after="200"/>
      </w:pPr>
      <w:r>
        <w:t xml:space="preserve">The following matrix organizes all recommendations by priority and estimated timeline. Critical and High items should be addressed before launching the BalanceBooks for Trucking product, as they establish the shared architecture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PKCE OAuth Migration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Component Decomposition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IndexedDB Migration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Recurring Auto-Generation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Onboarding Flow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Search &amp; Filter Enhancements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PWA Hardening</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State Management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Q2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Multi-Account Support</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1.1, 1.2</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LemonSqueezy Licensing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HIGH</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Testing Infrastructure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Split Transactions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Data Visualization</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Keyboard &amp; Accessibility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Analytics &amp; Telemetry</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4B8A6"/>
                <w:sz w:val="18"/>
                <w:szCs w:val="18"/>
              </w:rPr>
              <w:t xml:space="preserve">MEDIUM</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Q3 2026</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bl>
    <w:p>
      <w:pPr>
        <w:pStyle w:val="Heading1"/>
        <w:spacing w:before="400"/>
      </w:pPr>
      <w:r>
        <w:t xml:space="preserve">6. Quick Wins (Immediate Value)</w:t>
      </w:r>
    </w:p>
    <w:p>
      <w:pPr>
        <w:spacing w:after="160"/>
      </w:pPr>
      <w:r>
        <w:t xml:space="preserve">These require minimal code changes but deliver noticeable UX improvements:</w:t>
      </w:r>
    </w:p>
    <w:p>
      <w:pPr>
        <w:pStyle w:val="ListParagraph"/>
        <w:numPr>
          <w:ilvl w:val="0"/>
          <w:numId w:val="3"/>
        </w:numPr>
        <w:spacing w:after="80"/>
      </w:pPr>
      <w:r>
        <w:rPr>
          <w:b/>
          <w:bCs/>
        </w:rPr>
        <w:t xml:space="preserve">Default “paid” for income transactions</w:t>
      </w:r>
      <w:r>
        <w:t xml:space="preserve"> — Income is always “received.” Auto-check the paid box when type is set to Income in TxForm.</w:t>
      </w:r>
    </w:p>
    <w:p>
      <w:pPr>
        <w:pStyle w:val="ListParagraph"/>
        <w:numPr>
          <w:ilvl w:val="0"/>
          <w:numId w:val="3"/>
        </w:numPr>
        <w:spacing w:after="80"/>
      </w:pPr>
      <w:r>
        <w:rPr>
          <w:b/>
          <w:bCs/>
        </w:rPr>
        <w:t xml:space="preserve">Confirm before delete-all</w:t>
      </w:r>
      <w:r>
        <w:t xml:space="preserve"> — The current double-confirm pattern is good but add a required typed confirmation (e.g., type “DELETE”) for Factory Reset to prevent accidental data loss.</w:t>
      </w:r>
    </w:p>
    <w:p>
      <w:pPr>
        <w:pStyle w:val="ListParagraph"/>
        <w:numPr>
          <w:ilvl w:val="0"/>
          <w:numId w:val="3"/>
        </w:numPr>
        <w:spacing w:after="80"/>
      </w:pPr>
      <w:r>
        <w:rPr>
          <w:b/>
          <w:bCs/>
        </w:rPr>
        <w:t xml:space="preserve">Duplicate transaction button</w:t>
      </w:r>
      <w:r>
        <w:t xml:space="preserve"> — Add a “duplicate” icon next to edit/delete on each transaction row. Pre-fills the form with today’s date and the same details.</w:t>
      </w:r>
    </w:p>
    <w:p>
      <w:pPr>
        <w:pStyle w:val="ListParagraph"/>
        <w:numPr>
          <w:ilvl w:val="0"/>
          <w:numId w:val="3"/>
        </w:numPr>
        <w:spacing w:after="80"/>
      </w:pPr>
      <w:r>
        <w:rPr>
          <w:b/>
          <w:bCs/>
        </w:rPr>
        <w:t xml:space="preserve">Month-over-month comparison badge</w:t>
      </w:r>
      <w:r>
        <w:t xml:space="preserve"> — On each stat card, show a small “+12% vs last month” or “-5%” indicator in green/red.</w:t>
      </w:r>
    </w:p>
    <w:p>
      <w:pPr>
        <w:pStyle w:val="ListParagraph"/>
        <w:numPr>
          <w:ilvl w:val="0"/>
          <w:numId w:val="3"/>
        </w:numPr>
        <w:spacing w:after="80"/>
      </w:pPr>
      <w:r>
        <w:rPr>
          <w:b/>
          <w:bCs/>
        </w:rPr>
        <w:t xml:space="preserve">Empty state illustrations</w:t>
      </w:r>
      <w:r>
        <w:t xml:space="preserve"> — Replace text-only empty states with SVG illustrations and clear CTAs for each view.</w:t>
      </w:r>
    </w:p>
    <w:p>
      <w:pPr>
        <w:pStyle w:val="ListParagraph"/>
        <w:numPr>
          <w:ilvl w:val="0"/>
          <w:numId w:val="3"/>
        </w:numPr>
        <w:spacing w:after="200"/>
      </w:pPr>
      <w:r>
        <w:rPr>
          <w:b/>
          <w:bCs/>
        </w:rPr>
        <w:t xml:space="preserve">Bill notification deduplication</w:t>
      </w:r>
      <w:r>
        <w:t xml:space="preserve"> — The current implementation fires notifications on every render. Add a “last notified” timestamp per bill to prevent duplicates (partially addressed but should use a more robust approach).</w:t>
      </w:r>
    </w:p>
    <w:p>
      <w:pPr>
        <w:pStyle w:val="Heading1"/>
        <w:spacing w:before="400"/>
      </w:pPr>
      <w:r>
        <w:t xml:space="preserve">Summary</w:t>
      </w:r>
    </w:p>
    <w:p>
      <w:pPr>
        <w:spacing w:after="200"/>
      </w:pPr>
      <w:r>
        <w:t xml:space="preserve">BalanceBooks Pro has a strong product vision and a working foundation. The recommendations in this document are designed to transform it from a v1.x personal project into a v2.0 commercial product—with the architectural maturity to support the upcoming Trucking product, the feature depth to compete with established players, and the business infrastructure to generate revenue.</w:t>
      </w:r>
    </w:p>
    <w:p>
      <w:pPr>
        <w:spacing w:after="200"/>
      </w:pPr>
      <w:r>
        <w:t xml:space="preserve">The suggested approach is: address critical security items first (PKCE OAuth), then tackle architecture (component decomposition + IndexedDB) as the foundation for everything else, followed by high-impact features (recurring auto-generation, multi-account, licensing), and finally polish and growth items.</w:t>
      </w:r>
    </w:p>
    <w:p>
      <w:pPr>
        <w:spacing w:after="200"/>
      </w:pPr>
      <w:r>
        <w:rPr>
          <w:b/>
          <w:bCs/>
          <w:color w:val="14B8A6"/>
        </w:rPr>
        <w:t xml:space="preserve">Estimated total engineering effort: 8–12 weeks for a single developer, or 4–6 weeks with parallel workstreams.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B8A6" w:sz="4" w:space="1"/>
      </w:pBdr>
      <w:spacing w:after="200"/>
      <w:jc w:val="right"/>
    </w:pPr>
    <w:r>
      <w:rPr>
        <w:rFonts w:ascii="Arial" w:cs="Arial" w:eastAsia="Arial" w:hAnsi="Arial"/>
        <w:i/>
        <w:iCs/>
        <w:color w:val="94A3B8"/>
        <w:sz w:val="16"/>
        <w:szCs w:val="16"/>
      </w:rPr>
      <w:t xml:space="preserve">BalanceBooks Pro — Enhancement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4B8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2026-03-03T00:05:12.920Z</dcterms:created>
  <dcterms:modified xsi:type="dcterms:W3CDTF">2026-03-03T00:05:12.920Z</dcterms:modified>
</cp:coreProperties>
</file>

<file path=docProps/custom.xml><?xml version="1.0" encoding="utf-8"?>
<Properties xmlns="http://schemas.openxmlformats.org/officeDocument/2006/custom-properties" xmlns:vt="http://schemas.openxmlformats.org/officeDocument/2006/docPropsVTypes"/>
</file>