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Montserrat" w:cs="Montserrat" w:eastAsia="Montserrat" w:hAnsi="Montserrat"/>
          <w:b/>
          <w:bCs/>
          <w:color w:val="0D9488"/>
          <w:sz w:val="22"/>
          <w:szCs w:val="22"/>
        </w:rPr>
        <w:t xml:space="preserve">FORGE CYBER DEFENSE</w:t>
      </w:r>
    </w:p>
    <w:p>
      <w:pPr>
        <w:spacing w:after="80" w:before="80"/>
      </w:pPr>
      <w:r>
        <w:rPr>
          <w:rFonts w:ascii="Montserrat" w:cs="Montserrat" w:eastAsia="Montserrat" w:hAnsi="Montserrat"/>
          <w:b/>
          <w:bCs/>
          <w:color w:val="0F2A4A"/>
          <w:sz w:val="64"/>
          <w:szCs w:val="64"/>
        </w:rPr>
        <w:t xml:space="preserve">ForgeClosedML</w:t>
      </w:r>
    </w:p>
    <w:p>
      <w:pPr>
        <w:spacing w:after="40" w:before="40"/>
      </w:pPr>
      <w:r>
        <w:rPr>
          <w:rFonts w:ascii="Montserrat" w:cs="Montserrat" w:eastAsia="Montserrat" w:hAnsi="Montserrat"/>
          <w:color w:val="0F2A4A"/>
          <w:sz w:val="36"/>
          <w:szCs w:val="36"/>
        </w:rPr>
        <w:t xml:space="preserve">Closed-Environment ML Architecture</w:t>
      </w:r>
    </w:p>
    <w:p>
      <w:pPr>
        <w:pBdr>
          <w:bottom w:val="single" w:color="0D9488" w:sz="18" w:space="12"/>
        </w:pBdr>
        <w:spacing w:after="40" w:before="40"/>
      </w:pPr>
      <w:r>
        <w:rPr>
          <w:rFonts w:ascii="Calibri" w:cs="Calibri" w:eastAsia="Calibri" w:hAnsi="Calibri"/>
          <w:i/>
          <w:iCs/>
          <w:color w:val="4B5563"/>
          <w:sz w:val="28"/>
          <w:szCs w:val="28"/>
        </w:rPr>
        <w:t xml:space="preserve">Design, Recommendations, and Pilot Roadmap</w:t>
      </w:r>
    </w:p>
    <w:p>
      <w:pPr>
        <w:spacing w:after="600" w:before="600"/>
      </w:pPr>
      <w:r>
        <w:t xml:space="preserve"/>
      </w:r>
    </w:p>
    <w:p>
      <w:pPr>
        <w:spacing w:after="40" w:before="80"/>
      </w:pPr>
      <w:r>
        <w:rPr>
          <w:rFonts w:ascii="Montserrat" w:cs="Montserrat" w:eastAsia="Montserrat" w:hAnsi="Montserrat"/>
          <w:b/>
          <w:bCs/>
          <w:color w:val="0D9488"/>
          <w:sz w:val="20"/>
          <w:szCs w:val="20"/>
        </w:rPr>
        <w:t xml:space="preserve">Repository</w:t>
      </w:r>
    </w:p>
    <w:p>
      <w:pPr>
        <w:spacing w:after="40" w:before="20"/>
      </w:pPr>
      <w:r>
        <w:rPr>
          <w:rFonts w:ascii="Consolas" w:cs="Consolas" w:eastAsia="Consolas" w:hAnsi="Consolas"/>
          <w:color w:val="0F2A4A"/>
          <w:sz w:val="22"/>
          <w:szCs w:val="22"/>
        </w:rPr>
        <w:t xml:space="preserve">github.com/Bjay0727-jay/forge-closedml</w:t>
      </w:r>
    </w:p>
    <w:p>
      <w:pPr>
        <w:spacing w:after="200" w:before="200"/>
      </w:pPr>
      <w:r>
        <w:t xml:space="preserve"/>
      </w:r>
    </w:p>
    <w:p>
      <w:pPr>
        <w:spacing w:after="40" w:before="80"/>
      </w:pPr>
      <w:r>
        <w:rPr>
          <w:rFonts w:ascii="Montserrat" w:cs="Montserrat" w:eastAsia="Montserrat" w:hAnsi="Montserrat"/>
          <w:b/>
          <w:bCs/>
          <w:color w:val="0D9488"/>
          <w:sz w:val="20"/>
          <w:szCs w:val="20"/>
        </w:rPr>
        <w:t xml:space="preserve">Classification</w:t>
      </w:r>
    </w:p>
    <w:p>
      <w:pPr>
        <w:spacing w:after="40" w:before="20"/>
      </w:pPr>
      <w:r>
        <w:rPr>
          <w:rFonts w:ascii="Calibri" w:cs="Calibri" w:eastAsia="Calibri" w:hAnsi="Calibri"/>
          <w:color w:val="1F2937"/>
          <w:sz w:val="22"/>
          <w:szCs w:val="22"/>
        </w:rPr>
        <w:t xml:space="preserve">Internal — Forge Engineering &amp; Leadership</w:t>
      </w:r>
    </w:p>
    <w:p>
      <w:pPr>
        <w:spacing w:after="200" w:before="200"/>
      </w:pPr>
      <w:r>
        <w:t xml:space="preserve"/>
      </w:r>
    </w:p>
    <w:p>
      <w:pPr>
        <w:spacing w:after="40" w:before="80"/>
      </w:pPr>
      <w:r>
        <w:rPr>
          <w:rFonts w:ascii="Montserrat" w:cs="Montserrat" w:eastAsia="Montserrat" w:hAnsi="Montserrat"/>
          <w:b/>
          <w:bCs/>
          <w:color w:val="0D9488"/>
          <w:sz w:val="20"/>
          <w:szCs w:val="20"/>
        </w:rPr>
        <w:t xml:space="preserve">Version / Date</w:t>
      </w:r>
    </w:p>
    <w:p>
      <w:pPr>
        <w:spacing w:after="40" w:before="20"/>
      </w:pPr>
      <w:r>
        <w:rPr>
          <w:rFonts w:ascii="Calibri" w:cs="Calibri" w:eastAsia="Calibri" w:hAnsi="Calibri"/>
          <w:color w:val="1F2937"/>
          <w:sz w:val="22"/>
          <w:szCs w:val="22"/>
        </w:rPr>
        <w:t xml:space="preserve">v1.0  |  April 2026</w:t>
      </w:r>
    </w:p>
    <w:p>
      <w:pPr>
        <w:spacing w:after="60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4"/>
              <w:left w:val="single" w:color="0D9488" w:sz="24"/>
              <w:bottom w:val="single" w:color="F1F5F9" w:sz="4"/>
              <w:right w:val="single" w:color="F1F5F9" w:sz="4"/>
            </w:tcBorders>
            <w:shd w:fill="F1F5F9" w:val="clear"/>
            <w:tcMar>
              <w:top w:type="dxa" w:w="160"/>
              <w:left w:type="dxa" w:w="220"/>
              <w:bottom w:type="dxa" w:w="160"/>
              <w:right w:type="dxa" w:w="220"/>
            </w:tcMar>
          </w:tcPr>
          <w:p>
            <w:pPr>
              <w:spacing w:after="80" w:before="40"/>
            </w:pPr>
            <w:r>
              <w:rPr>
                <w:rFonts w:ascii="Montserrat" w:cs="Montserrat" w:eastAsia="Montserrat" w:hAnsi="Montserrat"/>
                <w:b/>
                <w:bCs/>
                <w:color w:val="0F2A4A"/>
                <w:sz w:val="22"/>
                <w:szCs w:val="22"/>
              </w:rPr>
              <w:t xml:space="preserve">Purpose-built for Forge</w:t>
            </w:r>
          </w:p>
          <w:p>
            <w:pPr>
              <w:spacing w:after="60" w:before="60" w:line="300"/>
            </w:pPr>
            <w:r>
              <w:rPr>
                <w:rFonts w:ascii="Calibri" w:cs="Calibri" w:eastAsia="Calibri" w:hAnsi="Calibri"/>
                <w:color w:val="1F2937"/>
                <w:sz w:val="22"/>
                <w:szCs w:val="22"/>
              </w:rPr>
              <w:t xml:space="preserve">This document captures the closed-boundary ML control plane we are building for Forge internal use and for regulated client engagements. The design keeps inference on-prem behind an outbound-only tunnel while the control plane, audit, and governance live at the Cloudflare edge. Every control maps back to NIST 800-53 Rev. 5 and NIST AI RMF so the same implementation stands up across HIPAA, FedRAMP, CMMC, and HITRUST engagements.</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1. Executive Summary</w:t>
      </w:r>
    </w:p>
    <w:p>
      <w:pPr>
        <w:spacing w:after="60" w:before="60" w:line="300"/>
      </w:pPr>
      <w:r>
        <w:rPr>
          <w:rFonts w:ascii="Calibri" w:cs="Calibri" w:eastAsia="Calibri" w:hAnsi="Calibri"/>
          <w:color w:val="1F2937"/>
          <w:sz w:val="22"/>
          <w:szCs w:val="22"/>
        </w:rPr>
        <w:t xml:space="preserve">ForgeClosedML is a closed-boundary ML control plane purpose-built for environments where model inference cannot leave the customer's network. It is the internal ML backbone for Forge Cyber Defense and the deployable reference architecture we offer to healthcare, federal, and financial-services clients who need LLM and classical ML capabilities without sending sensitive data to public model APIs.</w:t>
      </w:r>
    </w:p>
    <w:p>
      <w:pPr>
        <w:spacing w:after="60" w:before="60" w:line="300"/>
      </w:pPr>
      <w:r>
        <w:rPr>
          <w:rFonts w:ascii="Calibri" w:cs="Calibri" w:eastAsia="Calibri" w:hAnsi="Calibri"/>
          <w:color w:val="1F2937"/>
          <w:sz w:val="22"/>
          <w:szCs w:val="22"/>
        </w:rPr>
        <w:t xml:space="preserve">The architecture splits cleanly into two planes. The control plane — API gateway, dashboard, model registry, audit ledger, classification policy, and evidence export — runs on Cloudflare (Workers, D1, R2, KV). The data plane — LiteLLM, Ollama, MLflow, optional Redis — runs entirely on-prem and dials out to Cloudflare through a cloudflared tunnel. Nothing listens inbound on the customer firewall. The Worker is the only externally reachable surface, and every privileged action is authenticated, authorized, classified, rate-limited, and written to an append-only audit ledger.</w:t>
      </w:r>
    </w:p>
    <w:p>
      <w:pPr>
        <w:pStyle w:val="Heading3"/>
        <w:spacing w:after="80" w:before="200"/>
      </w:pPr>
      <w:r>
        <w:rPr>
          <w:rFonts w:ascii="Montserrat" w:cs="Montserrat" w:eastAsia="Montserrat" w:hAnsi="Montserrat"/>
          <w:b/>
          <w:bCs/>
          <w:color w:val="0D9488"/>
          <w:sz w:val="22"/>
          <w:szCs w:val="22"/>
        </w:rPr>
        <w:t xml:space="preserve">Why this shape</w:t>
      </w:r>
    </w:p>
    <w:p>
      <w:pPr>
        <w:pStyle w:val="ListParagraph"/>
        <w:numPr>
          <w:ilvl w:val="0"/>
          <w:numId w:val="2"/>
        </w:numPr>
        <w:spacing w:after="40" w:before="40" w:line="300"/>
      </w:pPr>
      <w:r>
        <w:rPr>
          <w:rFonts w:ascii="Calibri" w:cs="Calibri" w:eastAsia="Calibri" w:hAnsi="Calibri"/>
          <w:color w:val="1F2937"/>
          <w:sz w:val="22"/>
          <w:szCs w:val="22"/>
        </w:rPr>
        <w:t xml:space="preserve">Inference data never leaves the customer's boundary — only control-plane metadata and audit records live in Cloudflare.</w:t>
      </w:r>
    </w:p>
    <w:p>
      <w:pPr>
        <w:pStyle w:val="ListParagraph"/>
        <w:numPr>
          <w:ilvl w:val="0"/>
          <w:numId w:val="2"/>
        </w:numPr>
        <w:spacing w:after="40" w:before="40" w:line="300"/>
      </w:pPr>
      <w:r>
        <w:rPr>
          <w:rFonts w:ascii="Calibri" w:cs="Calibri" w:eastAsia="Calibri" w:hAnsi="Calibri"/>
          <w:color w:val="1F2937"/>
          <w:sz w:val="22"/>
          <w:szCs w:val="22"/>
        </w:rPr>
        <w:t xml:space="preserve">Identity is Cloudflare Access (JWT, JWKS-verified with a 5-minute cache), with CF Access service tokens and bearer tokens as fallbacks for automation.</w:t>
      </w:r>
    </w:p>
    <w:p>
      <w:pPr>
        <w:pStyle w:val="ListParagraph"/>
        <w:numPr>
          <w:ilvl w:val="0"/>
          <w:numId w:val="2"/>
        </w:numPr>
        <w:spacing w:after="40" w:before="40" w:line="300"/>
      </w:pPr>
      <w:r>
        <w:rPr>
          <w:rFonts w:ascii="Calibri" w:cs="Calibri" w:eastAsia="Calibri" w:hAnsi="Calibri"/>
          <w:color w:val="1F2937"/>
          <w:sz w:val="22"/>
          <w:szCs w:val="22"/>
        </w:rPr>
        <w:t xml:space="preserve">Every inference call carries an X-Data-Classification header that is validated against classification_policies in D1 before the request is forwarded. CUI, PHI, and classified traffic never touches a cloud destination.</w:t>
      </w:r>
    </w:p>
    <w:p>
      <w:pPr>
        <w:pStyle w:val="ListParagraph"/>
        <w:numPr>
          <w:ilvl w:val="0"/>
          <w:numId w:val="2"/>
        </w:numPr>
        <w:spacing w:after="40" w:before="40" w:line="300"/>
      </w:pPr>
      <w:r>
        <w:rPr>
          <w:rFonts w:ascii="Calibri" w:cs="Calibri" w:eastAsia="Calibri" w:hAnsi="Calibri"/>
          <w:color w:val="1F2937"/>
          <w:sz w:val="22"/>
          <w:szCs w:val="22"/>
        </w:rPr>
        <w:t xml:space="preserve">Promotion to production requires two distinct approver identities, recorded in promotion_approvals. Rollback replays the prior state from the last model.promoted audit event.</w:t>
      </w:r>
    </w:p>
    <w:p>
      <w:pPr>
        <w:pStyle w:val="ListParagraph"/>
        <w:numPr>
          <w:ilvl w:val="0"/>
          <w:numId w:val="2"/>
        </w:numPr>
        <w:spacing w:after="40" w:before="40" w:line="300"/>
      </w:pPr>
      <w:r>
        <w:rPr>
          <w:rFonts w:ascii="Calibri" w:cs="Calibri" w:eastAsia="Calibri" w:hAnsi="Calibri"/>
          <w:color w:val="1F2937"/>
          <w:sz w:val="22"/>
          <w:szCs w:val="22"/>
        </w:rPr>
        <w:t xml:space="preserve">Quarterly ConMon evidence is a single signed JSON bundle from /api/audit/export — built for FedRAMP and HITRUST continuous monitoring out of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4"/>
              <w:left w:val="single" w:color="0D9488" w:sz="24"/>
              <w:bottom w:val="single" w:color="F1F5F9" w:sz="4"/>
              <w:right w:val="single" w:color="F1F5F9" w:sz="4"/>
            </w:tcBorders>
            <w:shd w:fill="F1F5F9" w:val="clear"/>
            <w:tcMar>
              <w:top w:type="dxa" w:w="160"/>
              <w:left w:type="dxa" w:w="220"/>
              <w:bottom w:type="dxa" w:w="160"/>
              <w:right w:type="dxa" w:w="220"/>
            </w:tcMar>
          </w:tcPr>
          <w:p>
            <w:pPr>
              <w:spacing w:after="80" w:before="40"/>
            </w:pPr>
            <w:r>
              <w:rPr>
                <w:rFonts w:ascii="Montserrat" w:cs="Montserrat" w:eastAsia="Montserrat" w:hAnsi="Montserrat"/>
                <w:b/>
                <w:bCs/>
                <w:color w:val="0F2A4A"/>
                <w:sz w:val="22"/>
                <w:szCs w:val="22"/>
              </w:rPr>
              <w:t xml:space="preserve">Position inside the Forge stack</w:t>
            </w:r>
          </w:p>
          <w:p>
            <w:pPr>
              <w:spacing w:after="60" w:before="60" w:line="300"/>
            </w:pPr>
            <w:r>
              <w:rPr>
                <w:rFonts w:ascii="Calibri" w:cs="Calibri" w:eastAsia="Calibri" w:hAnsi="Calibri"/>
                <w:b/>
                <w:bCs/>
                <w:color w:val="0F2A4A"/>
                <w:sz w:val="22"/>
                <w:szCs w:val="22"/>
              </w:rPr>
              <w:t xml:space="preserve">ForgeClosedML </w:t>
            </w:r>
            <w:r>
              <w:rPr>
                <w:rFonts w:ascii="Calibri" w:cs="Calibri" w:eastAsia="Calibri" w:hAnsi="Calibri"/>
                <w:color w:val="1F2937"/>
                <w:sz w:val="22"/>
                <w:szCs w:val="22"/>
              </w:rPr>
              <w:t xml:space="preserve">is the ML substrate. </w:t>
            </w:r>
            <w:r>
              <w:rPr>
                <w:rFonts w:ascii="Calibri" w:cs="Calibri" w:eastAsia="Calibri" w:hAnsi="Calibri"/>
                <w:b/>
                <w:bCs/>
                <w:color w:val="0F2A4A"/>
                <w:sz w:val="22"/>
                <w:szCs w:val="22"/>
              </w:rPr>
              <w:t xml:space="preserve">ForgeComply 360 </w:t>
            </w:r>
            <w:r>
              <w:rPr>
                <w:rFonts w:ascii="Calibri" w:cs="Calibri" w:eastAsia="Calibri" w:hAnsi="Calibri"/>
                <w:color w:val="1F2937"/>
                <w:sz w:val="22"/>
                <w:szCs w:val="22"/>
              </w:rPr>
              <w:t xml:space="preserve">consumes its audit export and surfaces AI-related controls in the compliance dashboard. </w:t>
            </w:r>
            <w:r>
              <w:rPr>
                <w:rFonts w:ascii="Calibri" w:cs="Calibri" w:eastAsia="Calibri" w:hAnsi="Calibri"/>
                <w:b/>
                <w:bCs/>
                <w:color w:val="0F2A4A"/>
                <w:sz w:val="22"/>
                <w:szCs w:val="22"/>
              </w:rPr>
              <w:t xml:space="preserve">ForgeAI Govern </w:t>
            </w:r>
            <w:r>
              <w:rPr>
                <w:rFonts w:ascii="Calibri" w:cs="Calibri" w:eastAsia="Calibri" w:hAnsi="Calibri"/>
                <w:color w:val="1F2937"/>
                <w:sz w:val="22"/>
                <w:szCs w:val="22"/>
              </w:rPr>
              <w:t xml:space="preserve">reads the model registry and promotion events to populate the AI asset inventory, risk tier, and lifecycle state. This is one coherent governance story, not three disconnected platforms.</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2. Design Objectives</w:t>
      </w:r>
    </w:p>
    <w:p>
      <w:pPr>
        <w:spacing w:after="60" w:before="60" w:line="300"/>
      </w:pPr>
      <w:r>
        <w:rPr>
          <w:rFonts w:ascii="Calibri" w:cs="Calibri" w:eastAsia="Calibri" w:hAnsi="Calibri"/>
          <w:color w:val="1F2937"/>
          <w:sz w:val="22"/>
          <w:szCs w:val="22"/>
        </w:rPr>
        <w:t xml:space="preserve">Five objectives drove every architectural decision. They are listed in priority order; when two conflict, the higher-numbered one loses.</w:t>
      </w:r>
    </w:p>
    <w:p>
      <w:pPr>
        <w:pStyle w:val="Heading3"/>
        <w:spacing w:after="80" w:before="200"/>
      </w:pPr>
      <w:r>
        <w:rPr>
          <w:rFonts w:ascii="Montserrat" w:cs="Montserrat" w:eastAsia="Montserrat" w:hAnsi="Montserrat"/>
          <w:b/>
          <w:bCs/>
          <w:color w:val="0D9488"/>
          <w:sz w:val="22"/>
          <w:szCs w:val="22"/>
        </w:rPr>
        <w:t xml:space="preserve">1. Data stays inside the customer's boundary</w:t>
      </w:r>
    </w:p>
    <w:p>
      <w:pPr>
        <w:spacing w:after="60" w:before="60" w:line="300"/>
      </w:pPr>
      <w:r>
        <w:rPr>
          <w:rFonts w:ascii="Calibri" w:cs="Calibri" w:eastAsia="Calibri" w:hAnsi="Calibri"/>
          <w:color w:val="1F2937"/>
          <w:sz w:val="22"/>
          <w:szCs w:val="22"/>
        </w:rPr>
        <w:t xml:space="preserve">Model weights, prompts, completions, embeddings, and any retrieval context never leave the on-prem network. The tunnel is outbound-only. The Worker proxies requests but does not persist prompt or response bodies — only token counts, latency, status codes, and request IDs.</w:t>
      </w:r>
    </w:p>
    <w:p>
      <w:pPr>
        <w:pStyle w:val="Heading3"/>
        <w:spacing w:after="80" w:before="200"/>
      </w:pPr>
      <w:r>
        <w:rPr>
          <w:rFonts w:ascii="Montserrat" w:cs="Montserrat" w:eastAsia="Montserrat" w:hAnsi="Montserrat"/>
          <w:b/>
          <w:bCs/>
          <w:color w:val="0D9488"/>
          <w:sz w:val="22"/>
          <w:szCs w:val="22"/>
        </w:rPr>
        <w:t xml:space="preserve">2. Every privileged action is evidence</w:t>
      </w:r>
    </w:p>
    <w:p>
      <w:pPr>
        <w:spacing w:after="60" w:before="60" w:line="300"/>
      </w:pPr>
      <w:r>
        <w:rPr>
          <w:rFonts w:ascii="Calibri" w:cs="Calibri" w:eastAsia="Calibri" w:hAnsi="Calibri"/>
          <w:color w:val="1F2937"/>
          <w:sz w:val="22"/>
          <w:szCs w:val="22"/>
        </w:rPr>
        <w:t xml:space="preserve">Authentication, authorization, classification, rate-limiting, and audit are middleware, not add-ons. Any request that hits /api/* or /v1/* either produces a signed audit record or is rejected. There is no silent path through the system.</w:t>
      </w:r>
    </w:p>
    <w:p>
      <w:pPr>
        <w:pStyle w:val="Heading3"/>
        <w:spacing w:after="80" w:before="200"/>
      </w:pPr>
      <w:r>
        <w:rPr>
          <w:rFonts w:ascii="Montserrat" w:cs="Montserrat" w:eastAsia="Montserrat" w:hAnsi="Montserrat"/>
          <w:b/>
          <w:bCs/>
          <w:color w:val="0D9488"/>
          <w:sz w:val="22"/>
          <w:szCs w:val="22"/>
        </w:rPr>
        <w:t xml:space="preserve">3. Multi-framework from one implementation</w:t>
      </w:r>
    </w:p>
    <w:p>
      <w:pPr>
        <w:spacing w:after="60" w:before="60" w:line="300"/>
      </w:pPr>
      <w:r>
        <w:rPr>
          <w:rFonts w:ascii="Calibri" w:cs="Calibri" w:eastAsia="Calibri" w:hAnsi="Calibri"/>
          <w:color w:val="1F2937"/>
          <w:sz w:val="22"/>
          <w:szCs w:val="22"/>
        </w:rPr>
        <w:t xml:space="preserve">Controls map simultaneously to NIST 800-53 Rev. 5, NIST AI RMF, HIPAA Security Rule, FedRAMP Moderate, CMMC 2.0 Level 2, and HITRUST CSF. The classification policy, two-person approval, and audit export are the three mechanisms that carry most of the cross-framework weight.</w:t>
      </w:r>
    </w:p>
    <w:p>
      <w:pPr>
        <w:pStyle w:val="Heading3"/>
        <w:spacing w:after="80" w:before="200"/>
      </w:pPr>
      <w:r>
        <w:rPr>
          <w:rFonts w:ascii="Montserrat" w:cs="Montserrat" w:eastAsia="Montserrat" w:hAnsi="Montserrat"/>
          <w:b/>
          <w:bCs/>
          <w:color w:val="0D9488"/>
          <w:sz w:val="22"/>
          <w:szCs w:val="22"/>
        </w:rPr>
        <w:t xml:space="preserve">4. Deployable by one operator in a day</w:t>
      </w:r>
    </w:p>
    <w:p>
      <w:pPr>
        <w:spacing w:after="60" w:before="60" w:line="300"/>
      </w:pPr>
      <w:r>
        <w:rPr>
          <w:rFonts w:ascii="Calibri" w:cs="Calibri" w:eastAsia="Calibri" w:hAnsi="Calibri"/>
          <w:color w:val="1F2937"/>
          <w:sz w:val="22"/>
          <w:szCs w:val="22"/>
        </w:rPr>
        <w:t xml:space="preserve">The Cloudflare side is wrangler deploy plus a migration. The on-prem side is one docker compose up on a host with outbound HTTPS. No Kubernetes, no service mesh, no GPU orchestrator for the MVP. Complexity is earned, not assumed.</w:t>
      </w:r>
    </w:p>
    <w:p>
      <w:pPr>
        <w:pStyle w:val="Heading3"/>
        <w:spacing w:after="80" w:before="200"/>
      </w:pPr>
      <w:r>
        <w:rPr>
          <w:rFonts w:ascii="Montserrat" w:cs="Montserrat" w:eastAsia="Montserrat" w:hAnsi="Montserrat"/>
          <w:b/>
          <w:bCs/>
          <w:color w:val="0D9488"/>
          <w:sz w:val="22"/>
          <w:szCs w:val="22"/>
        </w:rPr>
        <w:t xml:space="preserve">5. Replaceable pieces, not a monolith</w:t>
      </w:r>
    </w:p>
    <w:p>
      <w:pPr>
        <w:spacing w:after="60" w:before="60" w:line="300"/>
      </w:pPr>
      <w:r>
        <w:rPr>
          <w:rFonts w:ascii="Calibri" w:cs="Calibri" w:eastAsia="Calibri" w:hAnsi="Calibri"/>
          <w:color w:val="1F2937"/>
          <w:sz w:val="22"/>
          <w:szCs w:val="22"/>
        </w:rPr>
        <w:t xml:space="preserve">LiteLLM can be swapped for vLLM. Ollama can be swapped for TGI or a managed GPU endpoint. MLflow can be swapped for Weights &amp; Biases. The control-plane contract — Worker, D1 schema, audit events — is the durable interface. Everything behind the tunnel is substitutable.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4"/>
              <w:left w:val="single" w:color="0D9488" w:sz="24"/>
              <w:bottom w:val="single" w:color="F1F5F9" w:sz="4"/>
              <w:right w:val="single" w:color="F1F5F9" w:sz="4"/>
            </w:tcBorders>
            <w:shd w:fill="F1F5F9" w:val="clear"/>
            <w:tcMar>
              <w:top w:type="dxa" w:w="160"/>
              <w:left w:type="dxa" w:w="220"/>
              <w:bottom w:type="dxa" w:w="160"/>
              <w:right w:type="dxa" w:w="220"/>
            </w:tcMar>
          </w:tcPr>
          <w:p>
            <w:pPr>
              <w:spacing w:after="80" w:before="40"/>
            </w:pPr>
            <w:r>
              <w:rPr>
                <w:rFonts w:ascii="Montserrat" w:cs="Montserrat" w:eastAsia="Montserrat" w:hAnsi="Montserrat"/>
                <w:b/>
                <w:bCs/>
                <w:color w:val="0F2A4A"/>
                <w:sz w:val="22"/>
                <w:szCs w:val="22"/>
              </w:rPr>
              <w:t xml:space="preserve">What we explicitly did not optimize for</w:t>
            </w:r>
          </w:p>
          <w:p>
            <w:pPr>
              <w:pStyle w:val="ListParagraph"/>
              <w:numPr>
                <w:ilvl w:val="0"/>
                <w:numId w:val="2"/>
              </w:numPr>
              <w:spacing w:after="40" w:before="40" w:line="300"/>
            </w:pPr>
            <w:r>
              <w:rPr>
                <w:rFonts w:ascii="Calibri" w:cs="Calibri" w:eastAsia="Calibri" w:hAnsi="Calibri"/>
                <w:color w:val="1F2937"/>
                <w:sz w:val="22"/>
                <w:szCs w:val="22"/>
              </w:rPr>
              <w:t xml:space="preserve">Sub-100ms first-token latency. Closed-boundary design costs ~50–150ms of tunnel overhead. Acceptable for our use cases; a dealbreaker for consumer chat, which is not the target.</w:t>
            </w:r>
          </w:p>
          <w:p>
            <w:pPr>
              <w:pStyle w:val="ListParagraph"/>
              <w:numPr>
                <w:ilvl w:val="0"/>
                <w:numId w:val="2"/>
              </w:numPr>
              <w:spacing w:after="40" w:before="40" w:line="300"/>
            </w:pPr>
            <w:r>
              <w:rPr>
                <w:rFonts w:ascii="Calibri" w:cs="Calibri" w:eastAsia="Calibri" w:hAnsi="Calibri"/>
                <w:color w:val="1F2937"/>
                <w:sz w:val="22"/>
                <w:szCs w:val="22"/>
              </w:rPr>
              <w:t xml:space="preserve">Multi-region inference. Single on-prem deployment per tenant in the MVP. Cross-site HA is a Phase 2 conversation.</w:t>
            </w:r>
          </w:p>
          <w:p>
            <w:pPr>
              <w:pStyle w:val="ListParagraph"/>
              <w:numPr>
                <w:ilvl w:val="0"/>
                <w:numId w:val="2"/>
              </w:numPr>
              <w:spacing w:after="40" w:before="40" w:line="300"/>
            </w:pPr>
            <w:r>
              <w:rPr>
                <w:rFonts w:ascii="Calibri" w:cs="Calibri" w:eastAsia="Calibri" w:hAnsi="Calibri"/>
                <w:color w:val="1F2937"/>
                <w:sz w:val="22"/>
                <w:szCs w:val="22"/>
              </w:rPr>
              <w:t xml:space="preserve">Fine-tuning at the edge. Training and fine-tuning happen on-prem via MLflow; the control plane tracks artifacts but does not run jobs.</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3. Architecture</w:t>
      </w:r>
    </w:p>
    <w:p>
      <w:pPr>
        <w:pStyle w:val="Heading2"/>
        <w:spacing w:after="120" w:before="280"/>
      </w:pPr>
      <w:r>
        <w:rPr>
          <w:rFonts w:ascii="Montserrat" w:cs="Montserrat" w:eastAsia="Montserrat" w:hAnsi="Montserrat"/>
          <w:b/>
          <w:bCs/>
          <w:color w:val="0F2A4A"/>
          <w:sz w:val="26"/>
          <w:szCs w:val="26"/>
        </w:rPr>
        <w:t xml:space="preserve">3.1 Two-Plane Model</w:t>
      </w:r>
    </w:p>
    <w:p>
      <w:pPr>
        <w:spacing w:after="60" w:before="60" w:line="300"/>
      </w:pPr>
      <w:r>
        <w:rPr>
          <w:rFonts w:ascii="Calibri" w:cs="Calibri" w:eastAsia="Calibri" w:hAnsi="Calibri"/>
          <w:color w:val="1F2937"/>
          <w:sz w:val="22"/>
          <w:szCs w:val="22"/>
        </w:rPr>
        <w:t xml:space="preserve">The system is split along a trust boundary that mirrors the data-residency boundary. Everything that would be subject to HIPAA, CUI, or classified data handling rules lives on-prem. Everything that is metadata — identity, policy, audit, model registry — lives at the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Plane</w:t>
            </w:r>
          </w:p>
        </w:tc>
        <w:tc>
          <w:tcPr>
            <w:tcW w:type="dxa" w:w="33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What it contains</w:t>
            </w:r>
          </w:p>
        </w:tc>
        <w:tc>
          <w:tcPr>
            <w:tcW w:type="dxa" w:w="33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Where it runs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Control plane</w:t>
            </w:r>
          </w:p>
        </w:tc>
        <w:tc>
          <w:tcPr>
            <w:tcW w:type="dxa" w:w="33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Worker API gateway, dashboard, model registry, classification policy, audit ledger, RBAC, rate limits, evidence export</w:t>
            </w:r>
          </w:p>
        </w:tc>
        <w:tc>
          <w:tcPr>
            <w:tcW w:type="dxa" w:w="33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 edge (Workers, D1, R2, KV)</w:t>
            </w:r>
          </w:p>
        </w:tc>
      </w:tr>
      <w:tr>
        <w:tc>
          <w:tcPr>
            <w:tcW w:type="dxa" w:w="2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Data plane</w:t>
            </w:r>
          </w:p>
        </w:tc>
        <w:tc>
          <w:tcPr>
            <w:tcW w:type="dxa" w:w="33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LiteLLM proxy, Ollama runtime, MLflow tracking + registry, optional Redis cache, cloudflared tunnel</w:t>
            </w:r>
          </w:p>
        </w:tc>
        <w:tc>
          <w:tcPr>
            <w:tcW w:type="dxa" w:w="33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Customer on-prem host (Docker Compose)</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Crossing</w:t>
            </w:r>
          </w:p>
        </w:tc>
        <w:tc>
          <w:tcPr>
            <w:tcW w:type="dxa" w:w="33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Outbound-only HTTPS over Cloudflare Tunnel. No inbound firewall rules on the customer side.</w:t>
            </w:r>
          </w:p>
        </w:tc>
        <w:tc>
          <w:tcPr>
            <w:tcW w:type="dxa" w:w="33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cloudflared → Cloudflare edge</w:t>
            </w:r>
          </w:p>
        </w:tc>
      </w:tr>
    </w:tbl>
    <w:p>
      <w:pPr>
        <w:pStyle w:val="Heading2"/>
        <w:spacing w:after="120" w:before="280"/>
      </w:pPr>
      <w:r>
        <w:rPr>
          <w:rFonts w:ascii="Montserrat" w:cs="Montserrat" w:eastAsia="Montserrat" w:hAnsi="Montserrat"/>
          <w:b/>
          <w:bCs/>
          <w:color w:val="0F2A4A"/>
          <w:sz w:val="26"/>
          <w:szCs w:val="26"/>
        </w:rPr>
        <w:t xml:space="preserve">3.2 Request Path</w:t>
      </w:r>
    </w:p>
    <w:p>
      <w:pPr>
        <w:spacing w:after="60" w:before="60" w:line="300"/>
      </w:pPr>
      <w:r>
        <w:rPr>
          <w:rFonts w:ascii="Calibri" w:cs="Calibri" w:eastAsia="Calibri" w:hAnsi="Calibri"/>
          <w:color w:val="1F2937"/>
          <w:sz w:val="22"/>
          <w:szCs w:val="22"/>
        </w:rPr>
        <w:t xml:space="preserve">A single inference request traverses seven checkpoints before a token is generated. If any check fails, the request is rejected and the reason is audited.</w:t>
      </w:r>
    </w:p>
    <w:p>
      <w:pPr>
        <w:pStyle w:val="ListParagraph"/>
        <w:numPr>
          <w:ilvl w:val="0"/>
          <w:numId w:val="3"/>
        </w:numPr>
        <w:spacing w:after="60" w:before="60" w:line="300"/>
      </w:pPr>
      <w:r>
        <w:rPr>
          <w:rFonts w:ascii="Calibri" w:cs="Calibri" w:eastAsia="Calibri" w:hAnsi="Calibri"/>
          <w:color w:val="1F2937"/>
          <w:sz w:val="22"/>
          <w:szCs w:val="22"/>
        </w:rPr>
        <w:t xml:space="preserve">Client hits the Worker at /v1/chat/completions with a bearer token (or CF Access JWT), X-Data-Classification, and optionally X-PHI-Tokenized.</w:t>
      </w:r>
    </w:p>
    <w:p>
      <w:pPr>
        <w:pStyle w:val="ListParagraph"/>
        <w:numPr>
          <w:ilvl w:val="0"/>
          <w:numId w:val="3"/>
        </w:numPr>
        <w:spacing w:after="60" w:before="60" w:line="300"/>
      </w:pPr>
      <w:r>
        <w:rPr>
          <w:rFonts w:ascii="Calibri" w:cs="Calibri" w:eastAsia="Calibri" w:hAnsi="Calibri"/>
          <w:color w:val="1F2937"/>
          <w:sz w:val="22"/>
          <w:szCs w:val="22"/>
        </w:rPr>
        <w:t xml:space="preserve">Auth middleware validates the JWT against cached JWKS (5-minute cache), or constant-time-compares the bearer against API_SECRET, or accepts a CF Access service-token pair.</w:t>
      </w:r>
    </w:p>
    <w:p>
      <w:pPr>
        <w:pStyle w:val="ListParagraph"/>
        <w:numPr>
          <w:ilvl w:val="0"/>
          <w:numId w:val="3"/>
        </w:numPr>
        <w:spacing w:after="60" w:before="60" w:line="300"/>
      </w:pPr>
      <w:r>
        <w:rPr>
          <w:rFonts w:ascii="Calibri" w:cs="Calibri" w:eastAsia="Calibri" w:hAnsi="Calibri"/>
          <w:color w:val="1F2937"/>
          <w:sz w:val="22"/>
          <w:szCs w:val="22"/>
        </w:rPr>
        <w:t xml:space="preserve">RBAC middleware resolves the identity's role (viewer, operator, approver, admin, service) from Access groups and checks the required permission (inference:invoke).</w:t>
      </w:r>
    </w:p>
    <w:p>
      <w:pPr>
        <w:pStyle w:val="ListParagraph"/>
        <w:numPr>
          <w:ilvl w:val="0"/>
          <w:numId w:val="3"/>
        </w:numPr>
        <w:spacing w:after="60" w:before="60" w:line="300"/>
      </w:pPr>
      <w:r>
        <w:rPr>
          <w:rFonts w:ascii="Calibri" w:cs="Calibri" w:eastAsia="Calibri" w:hAnsi="Calibri"/>
          <w:color w:val="1F2937"/>
          <w:sz w:val="22"/>
          <w:szCs w:val="22"/>
        </w:rPr>
        <w:t xml:space="preserve">Classification middleware validates the header against classification_policies in D1. PHI requires X-PHI-Tokenized: true if the policy sets tokenization_required=1. Classified + cloud destination is a 403 with a critical-severity audit event.</w:t>
      </w:r>
    </w:p>
    <w:p>
      <w:pPr>
        <w:pStyle w:val="ListParagraph"/>
        <w:numPr>
          <w:ilvl w:val="0"/>
          <w:numId w:val="3"/>
        </w:numPr>
        <w:spacing w:after="60" w:before="60" w:line="300"/>
      </w:pPr>
      <w:r>
        <w:rPr>
          <w:rFonts w:ascii="Calibri" w:cs="Calibri" w:eastAsia="Calibri" w:hAnsi="Calibri"/>
          <w:color w:val="1F2937"/>
          <w:sz w:val="22"/>
          <w:szCs w:val="22"/>
        </w:rPr>
        <w:t xml:space="preserve">Rate-limit middleware checks and increments the per-identity KV counter (default 120/min). 429 with Retry-After: 60 on breach.</w:t>
      </w:r>
    </w:p>
    <w:p>
      <w:pPr>
        <w:pStyle w:val="ListParagraph"/>
        <w:numPr>
          <w:ilvl w:val="0"/>
          <w:numId w:val="3"/>
        </w:numPr>
        <w:spacing w:after="60" w:before="60" w:line="300"/>
      </w:pPr>
      <w:r>
        <w:rPr>
          <w:rFonts w:ascii="Calibri" w:cs="Calibri" w:eastAsia="Calibri" w:hAnsi="Calibri"/>
          <w:color w:val="1F2937"/>
          <w:sz w:val="22"/>
          <w:szCs w:val="22"/>
        </w:rPr>
        <w:t xml:space="preserve">Request-size middleware enforces 1 MB via Content-Length. 413 on breach.</w:t>
      </w:r>
    </w:p>
    <w:p>
      <w:pPr>
        <w:pStyle w:val="ListParagraph"/>
        <w:numPr>
          <w:ilvl w:val="0"/>
          <w:numId w:val="3"/>
        </w:numPr>
        <w:spacing w:after="60" w:before="60" w:line="300"/>
      </w:pPr>
      <w:r>
        <w:rPr>
          <w:rFonts w:ascii="Calibri" w:cs="Calibri" w:eastAsia="Calibri" w:hAnsi="Calibri"/>
          <w:color w:val="1F2937"/>
          <w:sz w:val="22"/>
          <w:szCs w:val="22"/>
        </w:rPr>
        <w:t xml:space="preserve">The Worker opens a streaming HTTPS connection to LITELLM_ENDPOINT over the tunnel, relays the OpenAI-compatible request, and streams tokens back to the caller. On completion, an inference.completed row is written with token counts, latency, status, request ID, and the resolved ConMon period.</w:t>
      </w:r>
    </w:p>
    <w:p>
      <w:pPr>
        <w:pStyle w:val="Heading2"/>
        <w:spacing w:after="120" w:before="280"/>
      </w:pPr>
      <w:r>
        <w:rPr>
          <w:rFonts w:ascii="Montserrat" w:cs="Montserrat" w:eastAsia="Montserrat" w:hAnsi="Montserrat"/>
          <w:b/>
          <w:bCs/>
          <w:color w:val="0F2A4A"/>
          <w:sz w:val="26"/>
          <w:szCs w:val="26"/>
        </w:rPr>
        <w:t xml:space="preserve">3.3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Component</w:t>
            </w:r>
          </w:p>
        </w:tc>
        <w:tc>
          <w:tcPr>
            <w:tcW w:type="dxa" w:w="2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Role</w:t>
            </w:r>
          </w:p>
        </w:tc>
        <w:tc>
          <w:tcPr>
            <w:tcW w:type="dxa" w:w="45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Worker</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 gateway, auth, RBAC, classification, rate limit, audit, proxy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Only externally reachable surface. Stateless; all state in D1/KV/R2.</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D1 (SQLite)</w:t>
            </w:r>
          </w:p>
        </w:tc>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models, model_versions, endpoints, inference_logs, audit_events, promotion_approvals, classification_policies, system_config</w:t>
            </w:r>
          </w:p>
        </w:tc>
        <w:tc>
          <w:tcPr>
            <w:tcW w:type="dxa" w:w="45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Multi-tenant via tenant_id on every row. Indexed by conmon_period for exports.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KV</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Rate-limit counters, inference cache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Per-identity counters expire on minute boundary.</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R2</w:t>
            </w:r>
          </w:p>
        </w:tc>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 artifact bucket (MODEL_BUCKET)</w:t>
            </w:r>
          </w:p>
        </w:tc>
        <w:tc>
          <w:tcPr>
            <w:tcW w:type="dxa" w:w="45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Artifacts are referenced, not inlined. Signature + provenance URI columns ready for Sigstore/cosign.</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Dashboard</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React + TypeScript + Vite</w:t>
            </w:r>
          </w:p>
        </w:tc>
        <w:tc>
          <w:tcPr>
            <w:tcW w:type="dxa" w:w="4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Served same-origin as Workers/Pages static assets. Fetches go to /api/*.</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cloudflared</w:t>
            </w:r>
          </w:p>
        </w:tc>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Outbound-only tunnel</w:t>
            </w:r>
          </w:p>
        </w:tc>
        <w:tc>
          <w:tcPr>
            <w:tcW w:type="dxa" w:w="45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Dials out; no inbound firewall hole.</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LiteLLM</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OpenAI-compatible proxy in front of Ollama/vLLM/TGI</w:t>
            </w:r>
          </w:p>
        </w:tc>
        <w:tc>
          <w:tcPr>
            <w:tcW w:type="dxa" w:w="4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Enables model swapping without changing the Worker contract.</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Ollama</w:t>
            </w:r>
          </w:p>
        </w:tc>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GGUF model runtime</w:t>
            </w:r>
          </w:p>
        </w:tc>
        <w:tc>
          <w:tcPr>
            <w:tcW w:type="dxa" w:w="45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GPU optional. Modelfile.forge-compliance for our fine-tuned model.</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MLflow</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Experiment tracking + registry</w:t>
            </w:r>
          </w:p>
        </w:tc>
        <w:tc>
          <w:tcPr>
            <w:tcW w:type="dxa" w:w="4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only. Artifacts never sync to the cloud.</w:t>
            </w:r>
          </w:p>
        </w:tc>
      </w:tr>
    </w:tbl>
    <w:p>
      <w:pPr>
        <w:pStyle w:val="Heading2"/>
        <w:spacing w:after="120" w:before="280"/>
      </w:pPr>
      <w:r>
        <w:rPr>
          <w:rFonts w:ascii="Montserrat" w:cs="Montserrat" w:eastAsia="Montserrat" w:hAnsi="Montserrat"/>
          <w:b/>
          <w:bCs/>
          <w:color w:val="0F2A4A"/>
          <w:sz w:val="26"/>
          <w:szCs w:val="26"/>
        </w:rPr>
        <w:t xml:space="preserve">3.4 Trust Boundaries</w:t>
      </w:r>
    </w:p>
    <w:p>
      <w:pPr>
        <w:spacing w:after="60" w:before="60" w:line="300"/>
      </w:pPr>
      <w:r>
        <w:rPr>
          <w:rFonts w:ascii="Calibri" w:cs="Calibri" w:eastAsia="Calibri" w:hAnsi="Calibri"/>
          <w:color w:val="1F2937"/>
          <w:sz w:val="22"/>
          <w:szCs w:val="22"/>
        </w:rPr>
        <w:t xml:space="preserve">Three boundaries matter and each one is enforced by a different mechanism.</w:t>
      </w:r>
    </w:p>
    <w:p>
      <w:pPr>
        <w:pStyle w:val="ListParagraph"/>
        <w:numPr>
          <w:ilvl w:val="0"/>
          <w:numId w:val="2"/>
        </w:numPr>
        <w:spacing w:after="40" w:before="40" w:line="300"/>
      </w:pPr>
      <w:r>
        <w:rPr>
          <w:rFonts w:ascii="Calibri" w:cs="Calibri" w:eastAsia="Calibri" w:hAnsi="Calibri"/>
          <w:b/>
          <w:bCs/>
          <w:color w:val="0F2A4A"/>
          <w:sz w:val="22"/>
          <w:szCs w:val="22"/>
        </w:rPr>
        <w:t xml:space="preserve">Internet ↔ Cloudflare: </w:t>
      </w:r>
      <w:r>
        <w:rPr>
          <w:rFonts w:ascii="Calibri" w:cs="Calibri" w:eastAsia="Calibri" w:hAnsi="Calibri"/>
          <w:color w:val="1F2937"/>
          <w:sz w:val="22"/>
          <w:szCs w:val="22"/>
        </w:rPr>
        <w:t xml:space="preserve">DDoS, WAF, bot management, and TLS termination at the edge. Cloudflare Access sits in front of the Worker for human traffic.</w:t>
      </w:r>
    </w:p>
    <w:p>
      <w:pPr>
        <w:pStyle w:val="ListParagraph"/>
        <w:numPr>
          <w:ilvl w:val="0"/>
          <w:numId w:val="2"/>
        </w:numPr>
        <w:spacing w:after="40" w:before="40" w:line="300"/>
      </w:pPr>
      <w:r>
        <w:rPr>
          <w:rFonts w:ascii="Calibri" w:cs="Calibri" w:eastAsia="Calibri" w:hAnsi="Calibri"/>
          <w:b/>
          <w:bCs/>
          <w:color w:val="0F2A4A"/>
          <w:sz w:val="22"/>
          <w:szCs w:val="22"/>
        </w:rPr>
        <w:t xml:space="preserve">Cloudflare ↔ Customer on-prem: </w:t>
      </w:r>
      <w:r>
        <w:rPr>
          <w:rFonts w:ascii="Calibri" w:cs="Calibri" w:eastAsia="Calibri" w:hAnsi="Calibri"/>
          <w:color w:val="1F2937"/>
          <w:sz w:val="22"/>
          <w:szCs w:val="22"/>
        </w:rPr>
        <w:t xml:space="preserve">Mutual authentication via the named tunnel. Traffic is encrypted and the on-prem side has no listening port — cloudflared is a client that dials out.</w:t>
      </w:r>
    </w:p>
    <w:p>
      <w:pPr>
        <w:pStyle w:val="ListParagraph"/>
        <w:numPr>
          <w:ilvl w:val="0"/>
          <w:numId w:val="2"/>
        </w:numPr>
        <w:spacing w:after="40" w:before="40" w:line="300"/>
      </w:pPr>
      <w:r>
        <w:rPr>
          <w:rFonts w:ascii="Calibri" w:cs="Calibri" w:eastAsia="Calibri" w:hAnsi="Calibri"/>
          <w:b/>
          <w:bCs/>
          <w:color w:val="0F2A4A"/>
          <w:sz w:val="22"/>
          <w:szCs w:val="22"/>
        </w:rPr>
        <w:t xml:space="preserve">Customer on-prem ↔ inference runtime: </w:t>
      </w:r>
      <w:r>
        <w:rPr>
          <w:rFonts w:ascii="Calibri" w:cs="Calibri" w:eastAsia="Calibri" w:hAnsi="Calibri"/>
          <w:color w:val="1F2937"/>
          <w:sz w:val="22"/>
          <w:szCs w:val="22"/>
        </w:rPr>
        <w:t xml:space="preserve">Docker network isolation. LiteLLM and Ollama are not exposed on the host network; only cloudflared can reach them.</w:t>
      </w:r>
    </w:p>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4. Security &amp; Governance Controls</w:t>
      </w:r>
    </w:p>
    <w:p>
      <w:pPr>
        <w:spacing w:after="60" w:before="60" w:line="300"/>
      </w:pPr>
      <w:r>
        <w:rPr>
          <w:rFonts w:ascii="Calibri" w:cs="Calibri" w:eastAsia="Calibri" w:hAnsi="Calibri"/>
          <w:color w:val="1F2937"/>
          <w:sz w:val="22"/>
          <w:szCs w:val="22"/>
        </w:rPr>
        <w:t xml:space="preserve">The MVP already implements the controls below. This section exists to make the mapping explicit so the same implementation can be cited against multiple framework audits without reimplementation work.</w:t>
      </w:r>
    </w:p>
    <w:p>
      <w:pPr>
        <w:pStyle w:val="Heading2"/>
        <w:spacing w:after="120" w:before="280"/>
      </w:pPr>
      <w:r>
        <w:rPr>
          <w:rFonts w:ascii="Montserrat" w:cs="Montserrat" w:eastAsia="Montserrat" w:hAnsi="Montserrat"/>
          <w:b/>
          <w:bCs/>
          <w:color w:val="0F2A4A"/>
          <w:sz w:val="26"/>
          <w:szCs w:val="26"/>
        </w:rPr>
        <w:t xml:space="preserve">4.1 Control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780"/>
      </w:tblGrid>
      <w:tr>
        <w:trPr>
          <w:tblHeader/>
        </w:trPr>
        <w:tc>
          <w:tcPr>
            <w:tcW w:type="dxa" w:w="2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Control</w:t>
            </w:r>
          </w:p>
        </w:tc>
        <w:tc>
          <w:tcPr>
            <w:tcW w:type="dxa" w:w="31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Implementation</w:t>
            </w:r>
          </w:p>
        </w:tc>
        <w:tc>
          <w:tcPr>
            <w:tcW w:type="dxa" w:w="37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Framework references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Identity</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 Access JWT (RS256, JWKS-verified, 5-min cache), CF Access service tokens, bearer API_SECRET (constant-time compare)</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NIST 800-53 IA-2, IA-5, AC-17; HIPAA §164.312(d)</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RBAC</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viewer, operator, approver, admin, service; permissions attached per endpoint</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AC-2, AC-3, AC-6; HIPAA §164.308(a)(3), (a)(4)</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Classification gate</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X-Data-Classification validated against classification_policies; PHI requires X-PHI-Tokenized when policy demands; violation = 403 + critical audit</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AC-4, SC-7, AC-16; NIST AI RMF Govern 1.5; HIPAA §164.312(e)</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Request size limit</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1 MB via Content-Length</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SC-5</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Rate limiting</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Per-identity, per-minute KV counter (default 120/min)</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SC-5, AC-7</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 ledger</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audit_events table with severity, actor, resource, request ID, IP, country, ConMon period; every privileged action writes a row</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AU-2, AU-3, AU-9, AU-12; HIPAA §164.312(b)</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Two-person approval</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Production transitions require two distinct approver identities in promotion_approvals</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NIST AI RMF Manage 1.3; CM-3; HIPAA §164.308(a)(1)(ii)(D)</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Rollback</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POST /api/models/:id/promote { rollback_to_previous: true } replays the from state of the last model.promoted event</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CP-10, CM-3(2)</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Evidence export</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/api/audit/export returns an HMAC-SHA256-signed JSON bundle for one ConMon period (schema: forge.audit.evidence-bundle.v1)</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CA-7, AU-6; HITRUST 12.b; FedRAMP ConMon</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No prompt/response persistence</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Only token counts, latency, status, request ID are logged server-side</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SC-28, MP-4; HIPAA Minimum Necessary</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 lifecycle</w:t>
            </w:r>
          </w:p>
        </w:tc>
        <w:tc>
          <w:tcPr>
            <w:tcW w:type="dxa" w:w="3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dev → staged → approved → production; quarantined is terminal bypass; transitions enforced in handler</w:t>
            </w:r>
          </w:p>
        </w:tc>
        <w:tc>
          <w:tcPr>
            <w:tcW w:type="dxa" w:w="37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CM-3, SA-10; NIST AI RMF Manage 2.2</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Provenance placeholders</w:t>
            </w:r>
          </w:p>
        </w:tc>
        <w:tc>
          <w:tcPr>
            <w:tcW w:type="dxa" w:w="3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artifact_signature and provenance_uri columns on models and model_versions; ready for Sigstore/cosign</w:t>
            </w:r>
          </w:p>
        </w:tc>
        <w:tc>
          <w:tcPr>
            <w:tcW w:type="dxa" w:w="37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SA-10, SA-12; NIST AI RMF Map 2.3</w:t>
            </w:r>
          </w:p>
        </w:tc>
      </w:tr>
    </w:tbl>
    <w:p>
      <w:pPr>
        <w:pStyle w:val="Heading2"/>
        <w:spacing w:after="120" w:before="280"/>
      </w:pPr>
      <w:r>
        <w:rPr>
          <w:rFonts w:ascii="Montserrat" w:cs="Montserrat" w:eastAsia="Montserrat" w:hAnsi="Montserrat"/>
          <w:b/>
          <w:bCs/>
          <w:color w:val="0F2A4A"/>
          <w:sz w:val="26"/>
          <w:szCs w:val="26"/>
        </w:rPr>
        <w:t xml:space="preserve">4.2 Classification Policy</w:t>
      </w:r>
    </w:p>
    <w:p>
      <w:pPr>
        <w:spacing w:after="60" w:before="60" w:line="300"/>
      </w:pPr>
      <w:r>
        <w:rPr>
          <w:rFonts w:ascii="Calibri" w:cs="Calibri" w:eastAsia="Calibri" w:hAnsi="Calibri"/>
          <w:color w:val="1F2937"/>
          <w:sz w:val="22"/>
          <w:szCs w:val="22"/>
        </w:rPr>
        <w:t xml:space="preserve">The classification_policies table is seeded with five levels that match the regulated workloads we target. Defaults restrict CUI, PHI, and classified data to on-prem destinations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Level</w:t>
            </w:r>
          </w:p>
        </w:tc>
        <w:tc>
          <w:tcPr>
            <w:tcW w:type="dxa" w:w="20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Destination allowed</w:t>
            </w:r>
          </w:p>
        </w:tc>
        <w:tc>
          <w:tcPr>
            <w:tcW w:type="dxa" w:w="20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Tokenization required</w:t>
            </w:r>
          </w:p>
        </w:tc>
        <w:tc>
          <w:tcPr>
            <w:tcW w:type="dxa" w:w="39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Typical use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public</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cloud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Marketing copy, documentation drafting</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internal</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cloud</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Forge internal knowledge; non-sensitive client drafts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cui</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only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Federal and defense-adjacent engagements under CMMC/FedRAMP</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phi</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only</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Healthcare engagements under HIPAA; field-level tokenization required</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classified</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only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Restricted workloads; any cloud destination is a critical violation</w:t>
            </w:r>
          </w:p>
        </w:tc>
      </w:tr>
    </w:tbl>
    <w:p>
      <w:pPr>
        <w:spacing w:after="60" w:before="60" w:line="300"/>
      </w:pPr>
      <w:r>
        <w:rPr>
          <w:rFonts w:ascii="Calibri" w:cs="Calibri" w:eastAsia="Calibri" w:hAnsi="Calibri"/>
          <w:color w:val="1F2937"/>
          <w:sz w:val="22"/>
          <w:szCs w:val="22"/>
        </w:rPr>
        <w:t xml:space="preserve">The policy is tunable per engagement. A community bank may add a glba level; a FedRAMP pilot may tighten cui to require tokenization. The enforcement path does not change — only the row in classification_policies.</w:t>
      </w:r>
    </w:p>
    <w:p>
      <w:pPr>
        <w:pStyle w:val="Heading2"/>
        <w:spacing w:after="120" w:before="280"/>
      </w:pPr>
      <w:r>
        <w:rPr>
          <w:rFonts w:ascii="Montserrat" w:cs="Montserrat" w:eastAsia="Montserrat" w:hAnsi="Montserrat"/>
          <w:b/>
          <w:bCs/>
          <w:color w:val="0F2A4A"/>
          <w:sz w:val="26"/>
          <w:szCs w:val="26"/>
        </w:rPr>
        <w:t xml:space="preserve">4.3 Audit Event Schema</w:t>
      </w:r>
    </w:p>
    <w:p>
      <w:pPr>
        <w:spacing w:after="60" w:before="60" w:line="300"/>
      </w:pPr>
      <w:r>
        <w:rPr>
          <w:rFonts w:ascii="Calibri" w:cs="Calibri" w:eastAsia="Calibri" w:hAnsi="Calibri"/>
          <w:color w:val="1F2937"/>
          <w:sz w:val="22"/>
          <w:szCs w:val="22"/>
        </w:rPr>
        <w:t xml:space="preserve">Every audit row captures the minimum fields needed to answer an auditor's question without pulling additional logs. The event_type field drives downstream routing (ForgeComply 360, ForgeAI Govern, SIEM).</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 event_id, tenant_id, event_type, severity, actor_id, actor_role, resource_type, resource_id, request_id, ip, country, conmon_period, details_json, signature, created_at }</w:t>
      </w:r>
    </w:p>
    <w:p>
      <w:pPr>
        <w:spacing w:after="60" w:before="60" w:line="300"/>
      </w:pPr>
      <w:r>
        <w:rPr>
          <w:rFonts w:ascii="Calibri" w:cs="Calibri" w:eastAsia="Calibri" w:hAnsi="Calibri"/>
          <w:color w:val="1F2937"/>
          <w:sz w:val="22"/>
          <w:szCs w:val="22"/>
        </w:rPr>
        <w:t xml:space="preserve">Event types the MVP emits include: auth.denied, auth.succeeded, inference.completed, inference.blocked, classification.violation, model.registered, model.promoted, model.promotion.approval_recorded, model.rolled_back, endpoint.registered, endpoint.health_updated, policy.changed, and audit.exported.</w:t>
      </w:r>
    </w:p>
    <w:p>
      <w:pPr>
        <w:pStyle w:val="Heading2"/>
        <w:spacing w:after="120" w:before="280"/>
      </w:pPr>
      <w:r>
        <w:rPr>
          <w:rFonts w:ascii="Montserrat" w:cs="Montserrat" w:eastAsia="Montserrat" w:hAnsi="Montserrat"/>
          <w:b/>
          <w:bCs/>
          <w:color w:val="0F2A4A"/>
          <w:sz w:val="26"/>
          <w:szCs w:val="26"/>
        </w:rPr>
        <w:t xml:space="preserve">4.4 Evidence Bundle</w:t>
      </w:r>
    </w:p>
    <w:p>
      <w:pPr>
        <w:spacing w:after="60" w:before="60" w:line="300"/>
      </w:pPr>
      <w:r>
        <w:rPr>
          <w:rFonts w:ascii="Calibri" w:cs="Calibri" w:eastAsia="Calibri" w:hAnsi="Calibri"/>
          <w:color w:val="1F2937"/>
          <w:sz w:val="22"/>
          <w:szCs w:val="22"/>
        </w:rPr>
        <w:t xml:space="preserve">The /api/audit/export endpoint produces a single JSON file per ConMon period that contains: the period identifier, a summary of counts by event_type and severity, the full event stream, the policies in effect during the period, the model lifecycle state at period close, and an HMAC-SHA256 signature block. The bundle is ready to drop into a FedRAMP or HITRUST evidence package without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4"/>
              <w:left w:val="single" w:color="B45309" w:sz="24"/>
              <w:bottom w:val="single" w:color="FEF3C7" w:sz="4"/>
              <w:right w:val="single" w:color="FEF3C7" w:sz="4"/>
            </w:tcBorders>
            <w:shd w:fill="FEF3C7" w:val="clear"/>
            <w:tcMar>
              <w:top w:type="dxa" w:w="160"/>
              <w:left w:type="dxa" w:w="220"/>
              <w:bottom w:type="dxa" w:w="160"/>
              <w:right w:type="dxa" w:w="220"/>
            </w:tcMar>
          </w:tcPr>
          <w:p>
            <w:pPr>
              <w:spacing w:after="80" w:before="40"/>
            </w:pPr>
            <w:r>
              <w:rPr>
                <w:rFonts w:ascii="Montserrat" w:cs="Montserrat" w:eastAsia="Montserrat" w:hAnsi="Montserrat"/>
                <w:b/>
                <w:bCs/>
                <w:color w:val="B45309"/>
                <w:sz w:val="22"/>
                <w:szCs w:val="22"/>
              </w:rPr>
              <w:t xml:space="preserve">Hardening note on signing</w:t>
            </w:r>
          </w:p>
          <w:p>
            <w:pPr>
              <w:spacing w:after="60" w:before="60" w:line="300"/>
            </w:pPr>
            <w:r>
              <w:rPr>
                <w:rFonts w:ascii="Calibri" w:cs="Calibri" w:eastAsia="Calibri" w:hAnsi="Calibri"/>
                <w:i/>
                <w:iCs/>
                <w:color w:val="1F2937"/>
                <w:sz w:val="22"/>
                <w:szCs w:val="22"/>
              </w:rPr>
              <w:t xml:space="preserve">The MVP signs bundles with API_SECRET. This is intentional — it proves the end-to-end flow without adding HSM dependencies. Before pilot with a regulated client, this moves to a detached signature from an HSM-held key (KMS or Sigstore/cosign) with a published public verifier. The bundle schema is stable; only the signature block changes.</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5. Data Model &amp; API Surface</w:t>
      </w:r>
    </w:p>
    <w:p>
      <w:pPr>
        <w:pStyle w:val="Heading2"/>
        <w:spacing w:after="120" w:before="280"/>
      </w:pPr>
      <w:r>
        <w:rPr>
          <w:rFonts w:ascii="Montserrat" w:cs="Montserrat" w:eastAsia="Montserrat" w:hAnsi="Montserrat"/>
          <w:b/>
          <w:bCs/>
          <w:color w:val="0F2A4A"/>
          <w:sz w:val="26"/>
          <w:szCs w:val="26"/>
        </w:rPr>
        <w:t xml:space="preserve">5.1 D1 Schema</w:t>
      </w:r>
    </w:p>
    <w:p>
      <w:pPr>
        <w:spacing w:after="60" w:before="60" w:line="300"/>
      </w:pPr>
      <w:r>
        <w:rPr>
          <w:rFonts w:ascii="Calibri" w:cs="Calibri" w:eastAsia="Calibri" w:hAnsi="Calibri"/>
          <w:color w:val="1F2937"/>
          <w:sz w:val="22"/>
          <w:szCs w:val="22"/>
        </w:rPr>
        <w:t xml:space="preserve">The schema is deliberately narrow. Eight tables carry the entire control plane. tenant_id is a first-class column on every row so multi-tenant expansion is a routing change, not 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Table</w:t>
            </w:r>
          </w:p>
        </w:tc>
        <w:tc>
          <w:tcPr>
            <w:tcW w:type="dxa" w:w="69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Purpose and notable columns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One row per logical model. Columns: id, tenant_id, name, current_state, current_version_id, artifact_signature, provenance_uri, risk_tier, classification_scope, owner, created_at, updated_at</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model_versions</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Immutable version history. Columns: id, model_id, version, artifact_uri, artifact_signature, provenance_uri, metrics_json, created_by, created_at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endpoints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On-prem inference endpoints. Columns: id, tenant_id, name, service_type (litellm/ollama/vllm/tgi), internal_url, external_host, status, last_health_at, last_latency_ms</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inference_logs</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Metadata only — no prompt or response content. Columns: request_id, tenant_id, actor_id, model_id, classification, tokens_prompt, tokens_completion, latency_ms, status, endpoint_id, created_at</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audit_events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Append-only ledger indexed by conmon_period. See 4.3 for full schema.</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promotion_approvals</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Two-person approval ledger. Columns: id, model_id, target_state, approver_id, approved_at, request_id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classification_policies</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Tenant-scoped policy rows. Columns: tenant_id, level, destinations_allowed, tokenization_required, updated_by, updated_at</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system_config</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Tenant-scoped config key/value. default_model, rate_limit_per_minute, retention_days, signing_key_id</w:t>
            </w:r>
          </w:p>
        </w:tc>
      </w:tr>
    </w:tbl>
    <w:p>
      <w:pPr>
        <w:pStyle w:val="Heading2"/>
        <w:spacing w:after="120" w:before="280"/>
      </w:pPr>
      <w:r>
        <w:rPr>
          <w:rFonts w:ascii="Montserrat" w:cs="Montserrat" w:eastAsia="Montserrat" w:hAnsi="Montserrat"/>
          <w:b/>
          <w:bCs/>
          <w:color w:val="0F2A4A"/>
          <w:sz w:val="26"/>
          <w:szCs w:val="26"/>
        </w:rPr>
        <w:t xml:space="preserve">5.2 API Surface</w:t>
      </w:r>
    </w:p>
    <w:p>
      <w:pPr>
        <w:spacing w:after="60" w:before="60" w:line="300"/>
      </w:pPr>
      <w:r>
        <w:rPr>
          <w:rFonts w:ascii="Calibri" w:cs="Calibri" w:eastAsia="Calibri" w:hAnsi="Calibri"/>
          <w:color w:val="1F2937"/>
          <w:sz w:val="22"/>
          <w:szCs w:val="22"/>
        </w:rPr>
        <w:t xml:space="preserve">The Worker exposes one OpenAI-compatible proxy, a dashboard read API, and a governance API. Every path below /api or /v1 requires authentication except /health and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960"/>
        <w:gridCol w:w="2800"/>
      </w:tblGrid>
      <w:tr>
        <w:trPr>
          <w:tblHeader/>
        </w:trPr>
        <w:tc>
          <w:tcPr>
            <w:tcW w:type="dxa" w:w="36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Endpoint</w:t>
            </w:r>
          </w:p>
        </w:tc>
        <w:tc>
          <w:tcPr>
            <w:tcW w:type="dxa" w:w="10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Method</w:t>
            </w:r>
          </w:p>
        </w:tc>
        <w:tc>
          <w:tcPr>
            <w:tcW w:type="dxa" w:w="19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Permission</w:t>
            </w:r>
          </w:p>
        </w:tc>
        <w:tc>
          <w:tcPr>
            <w:tcW w:type="dxa" w:w="28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/v1/chat/completions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POST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inference:invoke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OpenAI-compatible inference proxy</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/api/dashboard/stats</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authenticated</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KPI snapshot</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/api/dashboard/timeline</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authenticated</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Daily inference rollup (1–90 days)</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/api/dashboard/usage</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authenticated</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Per-model request/error/latency</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/api/models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GET/POST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models:read / models:write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List / register models</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/api/models/:id/promote</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POST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models:promote</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Lifecycle transition or rollback</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/api/endpoints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GET/POST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endpoints:read / endpoints:write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List / register endpoints</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/api/endpoints/:id/health</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POST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endpoints:health</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Push health/status</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/api/inference-logs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authenticated</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Recent inference log rows</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/api/audit</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audit:read</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Query audit events with filters</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/api/audit/export</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audit:read</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Signed evidence bundle for a ConMon period</w:t>
            </w:r>
          </w:p>
        </w:tc>
      </w:tr>
      <w:tr>
        <w:tc>
          <w:tcPr>
            <w:tcW w:type="dxa" w:w="3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/api/policy-violations</w:t>
            </w:r>
          </w:p>
        </w:tc>
        <w:tc>
          <w:tcPr>
            <w:tcW w:type="dxa" w:w="1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audit:read</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Classification violations + critical events</w:t>
            </w:r>
          </w:p>
        </w:tc>
      </w:tr>
      <w:tr>
        <w:tc>
          <w:tcPr>
            <w:tcW w:type="dxa" w:w="3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/health, /ready</w:t>
            </w:r>
          </w:p>
        </w:tc>
        <w:tc>
          <w:tcPr>
            <w:tcW w:type="dxa" w:w="1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GET</w:t>
            </w:r>
          </w:p>
        </w:tc>
        <w:tc>
          <w:tcPr>
            <w:tcW w:type="dxa" w:w="1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public</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Liveness / readiness</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6. Recommendations</w:t>
      </w:r>
    </w:p>
    <w:p>
      <w:pPr>
        <w:spacing w:after="60" w:before="60" w:line="300"/>
      </w:pPr>
      <w:r>
        <w:rPr>
          <w:rFonts w:ascii="Calibri" w:cs="Calibri" w:eastAsia="Calibri" w:hAnsi="Calibri"/>
          <w:color w:val="1F2937"/>
          <w:sz w:val="22"/>
          <w:szCs w:val="22"/>
        </w:rPr>
        <w:t xml:space="preserve">The MVP is solid. The recommendations below sharpen the pilot, close the most material gaps, and set up ForgeClosedML to be the ML spine of the broader Forge platform rather than a standalone tool. They are grouped by horizon.</w:t>
      </w:r>
    </w:p>
    <w:p>
      <w:pPr>
        <w:pStyle w:val="Heading2"/>
        <w:spacing w:after="120" w:before="280"/>
      </w:pPr>
      <w:r>
        <w:rPr>
          <w:rFonts w:ascii="Montserrat" w:cs="Montserrat" w:eastAsia="Montserrat" w:hAnsi="Montserrat"/>
          <w:b/>
          <w:bCs/>
          <w:color w:val="0F2A4A"/>
          <w:sz w:val="26"/>
          <w:szCs w:val="26"/>
        </w:rPr>
        <w:t xml:space="preserve">6.1 Before Pilot (next 30 days)</w:t>
      </w:r>
    </w:p>
    <w:p>
      <w:pPr>
        <w:pStyle w:val="Heading3"/>
        <w:spacing w:after="80" w:before="200"/>
      </w:pPr>
      <w:r>
        <w:rPr>
          <w:rFonts w:ascii="Montserrat" w:cs="Montserrat" w:eastAsia="Montserrat" w:hAnsi="Montserrat"/>
          <w:b/>
          <w:bCs/>
          <w:color w:val="0D9488"/>
          <w:sz w:val="22"/>
          <w:szCs w:val="22"/>
        </w:rPr>
        <w:t xml:space="preserve">Provision staging D1 properly</w:t>
      </w:r>
    </w:p>
    <w:p>
      <w:pPr>
        <w:spacing w:after="60" w:before="60" w:line="300"/>
      </w:pPr>
      <w:r>
        <w:rPr>
          <w:rFonts w:ascii="Calibri" w:cs="Calibri" w:eastAsia="Calibri" w:hAnsi="Calibri"/>
          <w:color w:val="1F2937"/>
          <w:sz w:val="22"/>
          <w:szCs w:val="22"/>
        </w:rPr>
        <w:t xml:space="preserve">The account is at Cloudflare's 10-database default. Open a support request to raise the cap or prune unused DBs, create forge-closedml-db-staging, and paste the id into wrangler.toml under [[env.staging.d1_databases]]. Running staging against the production D1 is acceptable as a temporary bridge but it muddies the audit trail — ENVIRONMENT=staging on audit rows works for filtering, not for legal defensibility.</w:t>
      </w:r>
    </w:p>
    <w:p>
      <w:pPr>
        <w:pStyle w:val="Heading3"/>
        <w:spacing w:after="80" w:before="200"/>
      </w:pPr>
      <w:r>
        <w:rPr>
          <w:rFonts w:ascii="Montserrat" w:cs="Montserrat" w:eastAsia="Montserrat" w:hAnsi="Montserrat"/>
          <w:b/>
          <w:bCs/>
          <w:color w:val="0D9488"/>
          <w:sz w:val="22"/>
          <w:szCs w:val="22"/>
        </w:rPr>
        <w:t xml:space="preserve">Put the secrets</w:t>
      </w:r>
    </w:p>
    <w:p>
      <w:pPr>
        <w:spacing w:after="60" w:before="60" w:line="300"/>
      </w:pPr>
      <w:r>
        <w:rPr>
          <w:rFonts w:ascii="Calibri" w:cs="Calibri" w:eastAsia="Calibri" w:hAnsi="Calibri"/>
          <w:color w:val="1F2937"/>
          <w:sz w:val="22"/>
          <w:szCs w:val="22"/>
        </w:rPr>
        <w:t xml:space="preserve">Before first deploy, run the six wrangler secret put commands for production and staging. The API_SECRET should be generated with openssl rand -hex 32 and rotated on a documented cadence. CF_ACCESS_CLIENT_ID/SECRET must come from the Access service-token flow, not the Access application UI.</w:t>
      </w:r>
    </w:p>
    <w:p>
      <w:pPr>
        <w:pStyle w:val="Heading3"/>
        <w:spacing w:after="80" w:before="200"/>
      </w:pPr>
      <w:r>
        <w:rPr>
          <w:rFonts w:ascii="Montserrat" w:cs="Montserrat" w:eastAsia="Montserrat" w:hAnsi="Montserrat"/>
          <w:b/>
          <w:bCs/>
          <w:color w:val="0D9488"/>
          <w:sz w:val="22"/>
          <w:szCs w:val="22"/>
        </w:rPr>
        <w:t xml:space="preserve">Bind the Cloudflare Access application</w:t>
      </w:r>
    </w:p>
    <w:p>
      <w:pPr>
        <w:spacing w:after="60" w:before="60" w:line="300"/>
      </w:pPr>
      <w:r>
        <w:rPr>
          <w:rFonts w:ascii="Calibri" w:cs="Calibri" w:eastAsia="Calibri" w:hAnsi="Calibri"/>
          <w:color w:val="1F2937"/>
          <w:sz w:val="22"/>
          <w:szCs w:val="22"/>
        </w:rPr>
        <w:t xml:space="preserve">Create the Access application on the worker hostname, wire up groups admin, ml-operator, and ml-approver in the IdP, and fill in ACCESS_AUD, ACCESS_TEAM_DOMAIN, and ACCESS_JWKS_URL. Until Access is bound, the Worker falls back to bearer auth — functional, but not what we want in front of a regulated pilot.</w:t>
      </w:r>
    </w:p>
    <w:p>
      <w:pPr>
        <w:pStyle w:val="Heading3"/>
        <w:spacing w:after="80" w:before="200"/>
      </w:pPr>
      <w:r>
        <w:rPr>
          <w:rFonts w:ascii="Montserrat" w:cs="Montserrat" w:eastAsia="Montserrat" w:hAnsi="Montserrat"/>
          <w:b/>
          <w:bCs/>
          <w:color w:val="0D9488"/>
          <w:sz w:val="22"/>
          <w:szCs w:val="22"/>
        </w:rPr>
        <w:t xml:space="preserve">Replace HMAC signing with an HSM-backed signer</w:t>
      </w:r>
    </w:p>
    <w:p>
      <w:pPr>
        <w:spacing w:after="60" w:before="60" w:line="300"/>
      </w:pPr>
      <w:r>
        <w:rPr>
          <w:rFonts w:ascii="Calibri" w:cs="Calibri" w:eastAsia="Calibri" w:hAnsi="Calibri"/>
          <w:color w:val="1F2937"/>
          <w:sz w:val="22"/>
          <w:szCs w:val="22"/>
        </w:rPr>
        <w:t xml:space="preserve">This is the single highest-leverage pre-pilot change. Move evidence-bundle signing from HMAC/API_SECRET to Cloudflare Workers + a KMS-held key, or to Sigstore/cosign with a published public verifier. The bundle schema does not change. Auditors can verify a detached signature without Forge handing over shared secrets.</w:t>
      </w:r>
    </w:p>
    <w:p>
      <w:pPr>
        <w:pStyle w:val="Heading3"/>
        <w:spacing w:after="80" w:before="200"/>
      </w:pPr>
      <w:r>
        <w:rPr>
          <w:rFonts w:ascii="Montserrat" w:cs="Montserrat" w:eastAsia="Montserrat" w:hAnsi="Montserrat"/>
          <w:b/>
          <w:bCs/>
          <w:color w:val="0D9488"/>
          <w:sz w:val="22"/>
          <w:szCs w:val="22"/>
        </w:rPr>
        <w:t xml:space="preserve">Seed classification policy per engagement</w:t>
      </w:r>
    </w:p>
    <w:p>
      <w:pPr>
        <w:spacing w:after="60" w:before="60" w:line="300"/>
      </w:pPr>
      <w:r>
        <w:rPr>
          <w:rFonts w:ascii="Calibri" w:cs="Calibri" w:eastAsia="Calibri" w:hAnsi="Calibri"/>
          <w:color w:val="1F2937"/>
          <w:sz w:val="22"/>
          <w:szCs w:val="22"/>
        </w:rPr>
        <w:t xml:space="preserve">The defaults in migrations/0001_initial.sql are deliberately permissive for on-prem. Per engagement, tighten: a HIPAA pilot should require tokenization on phi and internal; a FedRAMP pilot should require tokenization on cui; a financial pilot should add a glba level. Each change is one INSERT or UPDATE in classification_policies plus a policy.changed audit row.</w:t>
      </w:r>
    </w:p>
    <w:p>
      <w:pPr>
        <w:pStyle w:val="Heading3"/>
        <w:spacing w:after="80" w:before="200"/>
      </w:pPr>
      <w:r>
        <w:rPr>
          <w:rFonts w:ascii="Montserrat" w:cs="Montserrat" w:eastAsia="Montserrat" w:hAnsi="Montserrat"/>
          <w:b/>
          <w:bCs/>
          <w:color w:val="0D9488"/>
          <w:sz w:val="22"/>
          <w:szCs w:val="22"/>
        </w:rPr>
        <w:t xml:space="preserve">Dry-run the two-person approval path</w:t>
      </w:r>
    </w:p>
    <w:p>
      <w:pPr>
        <w:spacing w:after="60" w:before="60" w:line="300"/>
      </w:pPr>
      <w:r>
        <w:rPr>
          <w:rFonts w:ascii="Calibri" w:cs="Calibri" w:eastAsia="Calibri" w:hAnsi="Calibri"/>
          <w:color w:val="1F2937"/>
          <w:sz w:val="22"/>
          <w:szCs w:val="22"/>
        </w:rPr>
        <w:t xml:space="preserve">Register a dummy model, promote it through dev → staged → approved, then attempt production with one identity. The response should carry pending_second_approval: true. Promote again with a second distinct identity. Verify three audit rows: two model.promotion.approval_recorded, one model.promoted. If the first identity can self-approve, something is wrong with the RBAC resolution.</w:t>
      </w:r>
    </w:p>
    <w:p>
      <w:pPr>
        <w:pStyle w:val="Heading2"/>
        <w:spacing w:after="120" w:before="280"/>
      </w:pPr>
      <w:r>
        <w:rPr>
          <w:rFonts w:ascii="Montserrat" w:cs="Montserrat" w:eastAsia="Montserrat" w:hAnsi="Montserrat"/>
          <w:b/>
          <w:bCs/>
          <w:color w:val="0F2A4A"/>
          <w:sz w:val="26"/>
          <w:szCs w:val="26"/>
        </w:rPr>
        <w:t xml:space="preserve">6.2 Before Scale (next 90 days)</w:t>
      </w:r>
    </w:p>
    <w:p>
      <w:pPr>
        <w:pStyle w:val="Heading3"/>
        <w:spacing w:after="80" w:before="200"/>
      </w:pPr>
      <w:r>
        <w:rPr>
          <w:rFonts w:ascii="Montserrat" w:cs="Montserrat" w:eastAsia="Montserrat" w:hAnsi="Montserrat"/>
          <w:b/>
          <w:bCs/>
          <w:color w:val="0D9488"/>
          <w:sz w:val="22"/>
          <w:szCs w:val="22"/>
        </w:rPr>
        <w:t xml:space="preserve">Move RBAC to policy-as-code</w:t>
      </w:r>
    </w:p>
    <w:p>
      <w:pPr>
        <w:spacing w:after="60" w:before="60" w:line="300"/>
      </w:pPr>
      <w:r>
        <w:rPr>
          <w:rFonts w:ascii="Calibri" w:cs="Calibri" w:eastAsia="Calibri" w:hAnsi="Calibri"/>
          <w:color w:val="1F2937"/>
          <w:sz w:val="22"/>
          <w:szCs w:val="22"/>
        </w:rPr>
        <w:t xml:space="preserve">The in-code RBAC table in worker/src/middleware/rbac.ts is fine for MVP but it hides the policy from auditors. Move to Open Policy Agent or Cedar, export the bundle, and hash it into the audit ledger so policy changes are themselves auditable. This is one of the cleanest wins for FedRAMP and CMMC.</w:t>
      </w:r>
    </w:p>
    <w:p>
      <w:pPr>
        <w:pStyle w:val="Heading3"/>
        <w:spacing w:after="80" w:before="200"/>
      </w:pPr>
      <w:r>
        <w:rPr>
          <w:rFonts w:ascii="Montserrat" w:cs="Montserrat" w:eastAsia="Montserrat" w:hAnsi="Montserrat"/>
          <w:b/>
          <w:bCs/>
          <w:color w:val="0D9488"/>
          <w:sz w:val="22"/>
          <w:szCs w:val="22"/>
        </w:rPr>
        <w:t xml:space="preserve">Tighten request-size enforcement</w:t>
      </w:r>
    </w:p>
    <w:p>
      <w:pPr>
        <w:spacing w:after="60" w:before="60" w:line="300"/>
      </w:pPr>
      <w:r>
        <w:rPr>
          <w:rFonts w:ascii="Calibri" w:cs="Calibri" w:eastAsia="Calibri" w:hAnsi="Calibri"/>
          <w:color w:val="1F2937"/>
          <w:sz w:val="22"/>
          <w:szCs w:val="22"/>
        </w:rPr>
        <w:t xml:space="preserve">Content-Length checks don't catch chunked or length-absent bodies. Add a streaming bound in the Worker that aborts any request body exceeding 1 MB regardless of declared length. Workers' 100 MB ceiling is a safety net, not a control.</w:t>
      </w:r>
    </w:p>
    <w:p>
      <w:pPr>
        <w:pStyle w:val="Heading3"/>
        <w:spacing w:after="80" w:before="200"/>
      </w:pPr>
      <w:r>
        <w:rPr>
          <w:rFonts w:ascii="Montserrat" w:cs="Montserrat" w:eastAsia="Montserrat" w:hAnsi="Montserrat"/>
          <w:b/>
          <w:bCs/>
          <w:color w:val="0D9488"/>
          <w:sz w:val="22"/>
          <w:szCs w:val="22"/>
        </w:rPr>
        <w:t xml:space="preserve">Add structured outputs and tool-call proxying</w:t>
      </w:r>
    </w:p>
    <w:p>
      <w:pPr>
        <w:spacing w:after="60" w:before="60" w:line="300"/>
      </w:pPr>
      <w:r>
        <w:rPr>
          <w:rFonts w:ascii="Calibri" w:cs="Calibri" w:eastAsia="Calibri" w:hAnsi="Calibri"/>
          <w:color w:val="1F2937"/>
          <w:sz w:val="22"/>
          <w:szCs w:val="22"/>
        </w:rPr>
        <w:t xml:space="preserve">LiteLLM already supports both. Expose them through the Worker with the same classification checks applied to tool arguments and results. This unlocks agentic workflows inside ForgeComply 360 and ForgeAI Govern without opening a second path to inference.</w:t>
      </w:r>
    </w:p>
    <w:p>
      <w:pPr>
        <w:pStyle w:val="Heading3"/>
        <w:spacing w:after="80" w:before="200"/>
      </w:pPr>
      <w:r>
        <w:rPr>
          <w:rFonts w:ascii="Montserrat" w:cs="Montserrat" w:eastAsia="Montserrat" w:hAnsi="Montserrat"/>
          <w:b/>
          <w:bCs/>
          <w:color w:val="0D9488"/>
          <w:sz w:val="22"/>
          <w:szCs w:val="22"/>
        </w:rPr>
        <w:t xml:space="preserve">Introduce a model-artifact ingest flow</w:t>
      </w:r>
    </w:p>
    <w:p>
      <w:pPr>
        <w:spacing w:after="60" w:before="60" w:line="300"/>
      </w:pPr>
      <w:r>
        <w:rPr>
          <w:rFonts w:ascii="Calibri" w:cs="Calibri" w:eastAsia="Calibri" w:hAnsi="Calibri"/>
          <w:color w:val="1F2937"/>
          <w:sz w:val="22"/>
          <w:szCs w:val="22"/>
        </w:rPr>
        <w:t xml:space="preserve">MODEL_BUCKET is a placeholder today. Wire up a signed-upload flow: client requests a pre-signed URL from /api/models/:id/versions, uploads the GGUF or safetensors to R2, and the Worker records the sha256 and a detached signature. Refuse to promote to production if artifact_signature is null.</w:t>
      </w:r>
    </w:p>
    <w:p>
      <w:pPr>
        <w:pStyle w:val="Heading3"/>
        <w:spacing w:after="80" w:before="200"/>
      </w:pPr>
      <w:r>
        <w:rPr>
          <w:rFonts w:ascii="Montserrat" w:cs="Montserrat" w:eastAsia="Montserrat" w:hAnsi="Montserrat"/>
          <w:b/>
          <w:bCs/>
          <w:color w:val="0D9488"/>
          <w:sz w:val="22"/>
          <w:szCs w:val="22"/>
        </w:rPr>
        <w:t xml:space="preserve">Queue + Durable Object for large exports</w:t>
      </w:r>
    </w:p>
    <w:p>
      <w:pPr>
        <w:spacing w:after="60" w:before="60" w:line="300"/>
      </w:pPr>
      <w:r>
        <w:rPr>
          <w:rFonts w:ascii="Calibri" w:cs="Calibri" w:eastAsia="Calibri" w:hAnsi="Calibri"/>
          <w:color w:val="1F2937"/>
          <w:sz w:val="22"/>
          <w:szCs w:val="22"/>
        </w:rPr>
        <w:t xml:space="preserve">/api/audit/export is synchronous. For tenants over ~50k events per ConMon period, move export to a Cloudflare Queue with a Durable Object aggregator and return a pre-signed R2 URL. The signature still covers the full bundle.</w:t>
      </w:r>
    </w:p>
    <w:p>
      <w:pPr>
        <w:pStyle w:val="Heading3"/>
        <w:spacing w:after="80" w:before="200"/>
      </w:pPr>
      <w:r>
        <w:rPr>
          <w:rFonts w:ascii="Montserrat" w:cs="Montserrat" w:eastAsia="Montserrat" w:hAnsi="Montserrat"/>
          <w:b/>
          <w:bCs/>
          <w:color w:val="0D9488"/>
          <w:sz w:val="22"/>
          <w:szCs w:val="22"/>
        </w:rPr>
        <w:t xml:space="preserve">CI pipeline with SAST and dependency scanning</w:t>
      </w:r>
    </w:p>
    <w:p>
      <w:pPr>
        <w:spacing w:after="60" w:before="60" w:line="300"/>
      </w:pPr>
      <w:r>
        <w:rPr>
          <w:rFonts w:ascii="Calibri" w:cs="Calibri" w:eastAsia="Calibri" w:hAnsi="Calibri"/>
          <w:color w:val="1F2937"/>
          <w:sz w:val="22"/>
          <w:szCs w:val="22"/>
        </w:rPr>
        <w:t xml:space="preserve">Typecheck, unit tests, Semgrep SAST, npm audit, and a wrangler deploy --dry-run on every PR. This is the minimum bar for a FedRAMP ATO and it catches 80% of the issues that would otherwise surface in pen testing.</w:t>
      </w:r>
    </w:p>
    <w:p>
      <w:pPr>
        <w:pStyle w:val="Heading2"/>
        <w:spacing w:after="120" w:before="280"/>
      </w:pPr>
      <w:r>
        <w:rPr>
          <w:rFonts w:ascii="Montserrat" w:cs="Montserrat" w:eastAsia="Montserrat" w:hAnsi="Montserrat"/>
          <w:b/>
          <w:bCs/>
          <w:color w:val="0F2A4A"/>
          <w:sz w:val="26"/>
          <w:szCs w:val="26"/>
        </w:rPr>
        <w:t xml:space="preserve">6.3 Strategic (next 6–12 months)</w:t>
      </w:r>
    </w:p>
    <w:p>
      <w:pPr>
        <w:pStyle w:val="Heading3"/>
        <w:spacing w:after="80" w:before="200"/>
      </w:pPr>
      <w:r>
        <w:rPr>
          <w:rFonts w:ascii="Montserrat" w:cs="Montserrat" w:eastAsia="Montserrat" w:hAnsi="Montserrat"/>
          <w:b/>
          <w:bCs/>
          <w:color w:val="0D9488"/>
          <w:sz w:val="22"/>
          <w:szCs w:val="22"/>
        </w:rPr>
        <w:t xml:space="preserve">Close the loop with ForgeAI Govern</w:t>
      </w:r>
    </w:p>
    <w:p>
      <w:pPr>
        <w:spacing w:after="60" w:before="60" w:line="300"/>
      </w:pPr>
      <w:r>
        <w:rPr>
          <w:rFonts w:ascii="Calibri" w:cs="Calibri" w:eastAsia="Calibri" w:hAnsi="Calibri"/>
          <w:color w:val="1F2937"/>
          <w:sz w:val="22"/>
          <w:szCs w:val="22"/>
        </w:rPr>
        <w:t xml:space="preserve">ForgeAI Govern's AI asset inventory should read directly from the models and audit_events tables. Risk tier, lifecycle state, current version, last promotion event, and last classification violation should populate the ForgeAI Govern asset record automatically. This turns ForgeClosedML from an ML tool into the system of record for every AI asset under Forge governance — and that is the story healthcare and federal buyers need to hear.</w:t>
      </w:r>
    </w:p>
    <w:p>
      <w:pPr>
        <w:pStyle w:val="Heading3"/>
        <w:spacing w:after="80" w:before="200"/>
      </w:pPr>
      <w:r>
        <w:rPr>
          <w:rFonts w:ascii="Montserrat" w:cs="Montserrat" w:eastAsia="Montserrat" w:hAnsi="Montserrat"/>
          <w:b/>
          <w:bCs/>
          <w:color w:val="0D9488"/>
          <w:sz w:val="22"/>
          <w:szCs w:val="22"/>
        </w:rPr>
        <w:t xml:space="preserve">Close the loop with ForgeComply 360</w:t>
      </w:r>
    </w:p>
    <w:p>
      <w:pPr>
        <w:spacing w:after="60" w:before="60" w:line="300"/>
      </w:pPr>
      <w:r>
        <w:rPr>
          <w:rFonts w:ascii="Calibri" w:cs="Calibri" w:eastAsia="Calibri" w:hAnsi="Calibri"/>
          <w:color w:val="1F2937"/>
          <w:sz w:val="22"/>
          <w:szCs w:val="22"/>
        </w:rPr>
        <w:t xml:space="preserve">ConMon evidence bundles should land as attachments on the relevant NIST 800-53 Rev. 5 controls in ForgeComply 360 on each quarterly export. AU-2, AU-12, CA-7, and CM-3 are the primary hits; AC-4 and SC-7 pick up the classification controls. One export, multiple controls satisfied — that's the multi-framework story in concrete form.</w:t>
      </w:r>
    </w:p>
    <w:p>
      <w:pPr>
        <w:pStyle w:val="Heading3"/>
        <w:spacing w:after="80" w:before="200"/>
      </w:pPr>
      <w:r>
        <w:rPr>
          <w:rFonts w:ascii="Montserrat" w:cs="Montserrat" w:eastAsia="Montserrat" w:hAnsi="Montserrat"/>
          <w:b/>
          <w:bCs/>
          <w:color w:val="0D9488"/>
          <w:sz w:val="22"/>
          <w:szCs w:val="22"/>
        </w:rPr>
        <w:t xml:space="preserve">Fine-tuning pipeline</w:t>
      </w:r>
    </w:p>
    <w:p>
      <w:pPr>
        <w:spacing w:after="60" w:before="60" w:line="300"/>
      </w:pPr>
      <w:r>
        <w:rPr>
          <w:rFonts w:ascii="Calibri" w:cs="Calibri" w:eastAsia="Calibri" w:hAnsi="Calibri"/>
          <w:color w:val="1F2937"/>
          <w:sz w:val="22"/>
          <w:szCs w:val="22"/>
        </w:rPr>
        <w:t xml:space="preserve">Today MLflow tracks experiments. Add a Forge-hosted fine-tuning template: a Dockerfile that trains on customer-provided data, registers the resulting GGUF with MLflow, and auto-creates a model_versions row with the sha256 and a detached signature. Everything stays on-prem. This is the basis for offering customers a fine-tuned forge-compliance model trained on their own policies and runbooks.</w:t>
      </w:r>
    </w:p>
    <w:p>
      <w:pPr>
        <w:pStyle w:val="Heading3"/>
        <w:spacing w:after="80" w:before="200"/>
      </w:pPr>
      <w:r>
        <w:rPr>
          <w:rFonts w:ascii="Montserrat" w:cs="Montserrat" w:eastAsia="Montserrat" w:hAnsi="Montserrat"/>
          <w:b/>
          <w:bCs/>
          <w:color w:val="0D9488"/>
          <w:sz w:val="22"/>
          <w:szCs w:val="22"/>
        </w:rPr>
        <w:t xml:space="preserve">Multi-tenant hardening</w:t>
      </w:r>
    </w:p>
    <w:p>
      <w:pPr>
        <w:spacing w:after="60" w:before="60" w:line="300"/>
      </w:pPr>
      <w:r>
        <w:rPr>
          <w:rFonts w:ascii="Calibri" w:cs="Calibri" w:eastAsia="Calibri" w:hAnsi="Calibri"/>
          <w:color w:val="1F2937"/>
          <w:sz w:val="22"/>
          <w:szCs w:val="22"/>
        </w:rPr>
        <w:t xml:space="preserve">Per-tenant KV namespaces for rate-limit counters, per-tenant Access applications, and per-tenant signing keys. Today tenant_id is a column; at scale it needs to be a boundary. This is the work that lets us sell ForgeClosedML as a platform, not only a per-engagement deployment.</w:t>
      </w:r>
    </w:p>
    <w:p>
      <w:pPr>
        <w:pStyle w:val="Heading3"/>
        <w:spacing w:after="80" w:before="200"/>
      </w:pPr>
      <w:r>
        <w:rPr>
          <w:rFonts w:ascii="Montserrat" w:cs="Montserrat" w:eastAsia="Montserrat" w:hAnsi="Montserrat"/>
          <w:b/>
          <w:bCs/>
          <w:color w:val="0D9488"/>
          <w:sz w:val="22"/>
          <w:szCs w:val="22"/>
        </w:rPr>
        <w:t xml:space="preserve">Retrieval layer</w:t>
      </w:r>
    </w:p>
    <w:p>
      <w:pPr>
        <w:spacing w:after="60" w:before="60" w:line="300"/>
      </w:pPr>
      <w:r>
        <w:rPr>
          <w:rFonts w:ascii="Calibri" w:cs="Calibri" w:eastAsia="Calibri" w:hAnsi="Calibri"/>
          <w:color w:val="1F2937"/>
          <w:sz w:val="22"/>
          <w:szCs w:val="22"/>
        </w:rPr>
        <w:t xml:space="preserve">Add an on-prem vector store (Qdrant or pgvector behind LiteLLM's embedding interface) with the same classification gate applied to document ingest and retrieval. The Worker proxies embeddings exactly like completions; the classification level of the retrieved chunks must match or exceed the classification of the query. RAG without a classification-aware retrieval layer is how PHI leaks into internal workloads.</w:t>
      </w:r>
    </w:p>
    <w:p>
      <w:pPr>
        <w:pStyle w:val="Heading3"/>
        <w:spacing w:after="80" w:before="200"/>
      </w:pPr>
      <w:r>
        <w:rPr>
          <w:rFonts w:ascii="Montserrat" w:cs="Montserrat" w:eastAsia="Montserrat" w:hAnsi="Montserrat"/>
          <w:b/>
          <w:bCs/>
          <w:color w:val="0D9488"/>
          <w:sz w:val="22"/>
          <w:szCs w:val="22"/>
        </w:rPr>
        <w:t xml:space="preserve">Offline + air-gapped mode</w:t>
      </w:r>
    </w:p>
    <w:p>
      <w:pPr>
        <w:spacing w:after="60" w:before="60" w:line="300"/>
      </w:pPr>
      <w:r>
        <w:rPr>
          <w:rFonts w:ascii="Calibri" w:cs="Calibri" w:eastAsia="Calibri" w:hAnsi="Calibri"/>
          <w:color w:val="1F2937"/>
          <w:sz w:val="22"/>
          <w:szCs w:val="22"/>
        </w:rPr>
        <w:t xml:space="preserve">For defense and classified workloads, some customers cannot tolerate any outbound connection. Build a fully-offline mode where the control plane runs on a local Worker-compatible runtime (Miniflare or an equivalent) inside the enclave, synced to the Cloudflare control plane only via signed evidence bundles carried out on scheduled intervals. This is a meaningful engineering lift but it is the door-opener for the most sensitive federal engagements.</w:t>
      </w:r>
    </w:p>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7. Deployment &amp; Pilot Roadmap</w:t>
      </w:r>
    </w:p>
    <w:p>
      <w:pPr>
        <w:pStyle w:val="Heading2"/>
        <w:spacing w:after="120" w:before="280"/>
      </w:pPr>
      <w:r>
        <w:rPr>
          <w:rFonts w:ascii="Montserrat" w:cs="Montserrat" w:eastAsia="Montserrat" w:hAnsi="Montserrat"/>
          <w:b/>
          <w:bCs/>
          <w:color w:val="0F2A4A"/>
          <w:sz w:val="26"/>
          <w:szCs w:val="26"/>
        </w:rPr>
        <w:t xml:space="preserve">7.1 Deploy Commands (ready to run)</w:t>
      </w:r>
    </w:p>
    <w:p>
      <w:pPr>
        <w:spacing w:after="60" w:before="60" w:line="300"/>
      </w:pPr>
      <w:r>
        <w:rPr>
          <w:rFonts w:ascii="Calibri" w:cs="Calibri" w:eastAsia="Calibri" w:hAnsi="Calibri"/>
          <w:color w:val="1F2937"/>
          <w:sz w:val="22"/>
          <w:szCs w:val="22"/>
        </w:rPr>
        <w:t xml:space="preserve">The worker directory already contains the wrangler configuration and migrations. These are the commands to execute in order.</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cd worker</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API_SECRET               # openssl rand -hex 32</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LITELLM_ENDPOINT         # https://inference.&lt;domain&gt;</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MLFLOW_ENDPOINT          # https://mlflow.&lt;domain&gt;</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CF_ACCESS_CLIENT_ID</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CF_ACCESS_CLIENT_SECRET</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wrangler secret put API_SECRET --env staging        # repeat for staging</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npm run deploy:staging                        # sanity-check staging</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npm run deploy                                # production</w:t>
      </w:r>
    </w:p>
    <w:p>
      <w:pPr>
        <w:spacing w:after="60" w:before="60" w:line="300"/>
      </w:pPr>
      <w:r>
        <w:rPr>
          <w:rFonts w:ascii="Calibri" w:cs="Calibri" w:eastAsia="Calibri" w:hAnsi="Calibri"/>
          <w:color w:val="1F2937"/>
          <w:sz w:val="22"/>
          <w:szCs w:val="22"/>
        </w:rPr>
        <w:t xml:space="preserve">On-prem, with the cloudflared tunnel ID populated in config/cloudflared-tunnel.yml:</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docker compose up -d</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 Then register the endpoint from the dashboard:</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   internal_url   = http://litellm:4000</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   external_host  = inference.&lt;domain&gt;</w:t>
      </w:r>
    </w:p>
    <w:p>
      <w:pPr>
        <w:pBdr>
          <w:top w:val="single" w:color="E5E7EB" w:sz="1"/>
          <w:bottom w:val="single" w:color="E5E7EB" w:sz="1"/>
          <w:left w:val="single" w:color="E5E7EB" w:sz="1"/>
          <w:right w:val="single" w:color="E5E7EB" w:sz="1"/>
        </w:pBdr>
        <w:shd w:fill="F3F4F6" w:val="clear"/>
        <w:spacing w:after="40" w:before="40" w:line="280"/>
        <w:ind w:left="120" w:right="120"/>
      </w:pPr>
      <w:r>
        <w:rPr>
          <w:rFonts w:ascii="Consolas" w:cs="Consolas" w:eastAsia="Consolas" w:hAnsi="Consolas"/>
          <w:color w:val="1F2937"/>
          <w:sz w:val="20"/>
          <w:szCs w:val="20"/>
        </w:rPr>
        <w:t xml:space="preserve">#   service_type   = litellm</w:t>
      </w:r>
    </w:p>
    <w:p>
      <w:pPr>
        <w:pStyle w:val="Heading2"/>
        <w:spacing w:after="120" w:before="280"/>
      </w:pPr>
      <w:r>
        <w:rPr>
          <w:rFonts w:ascii="Montserrat" w:cs="Montserrat" w:eastAsia="Montserrat" w:hAnsi="Montserrat"/>
          <w:b/>
          <w:bCs/>
          <w:color w:val="0F2A4A"/>
          <w:sz w:val="26"/>
          <w:szCs w:val="26"/>
        </w:rPr>
        <w:t xml:space="preserve">7.2 Smoke Test Checklist</w:t>
      </w:r>
    </w:p>
    <w:p>
      <w:pPr>
        <w:spacing w:after="60" w:before="60" w:line="300"/>
      </w:pPr>
      <w:r>
        <w:rPr>
          <w:rFonts w:ascii="Calibri" w:cs="Calibri" w:eastAsia="Calibri" w:hAnsi="Calibri"/>
          <w:color w:val="1F2937"/>
          <w:sz w:val="22"/>
          <w:szCs w:val="22"/>
        </w:rPr>
        <w:t xml:space="preserve">Run after every deploy. Each step must pass without intervention before the deployment is accepted.</w:t>
      </w:r>
    </w:p>
    <w:p>
      <w:pPr>
        <w:pStyle w:val="ListParagraph"/>
        <w:numPr>
          <w:ilvl w:val="0"/>
          <w:numId w:val="3"/>
        </w:numPr>
        <w:spacing w:after="60" w:before="60" w:line="300"/>
      </w:pPr>
      <w:r>
        <w:rPr>
          <w:rFonts w:ascii="Calibri" w:cs="Calibri" w:eastAsia="Calibri" w:hAnsi="Calibri"/>
          <w:color w:val="1F2937"/>
          <w:sz w:val="22"/>
          <w:szCs w:val="22"/>
        </w:rPr>
        <w:t xml:space="preserve">GET /health returns {"success": true, "status": "healthy"}.</w:t>
      </w:r>
    </w:p>
    <w:p>
      <w:pPr>
        <w:pStyle w:val="ListParagraph"/>
        <w:numPr>
          <w:ilvl w:val="0"/>
          <w:numId w:val="3"/>
        </w:numPr>
        <w:spacing w:after="60" w:before="60" w:line="300"/>
      </w:pPr>
      <w:r>
        <w:rPr>
          <w:rFonts w:ascii="Calibri" w:cs="Calibri" w:eastAsia="Calibri" w:hAnsi="Calibri"/>
          <w:color w:val="1F2937"/>
          <w:sz w:val="22"/>
          <w:szCs w:val="22"/>
        </w:rPr>
        <w:t xml:space="preserve">GET /ready returns {"checks": {"db": true, "cache": true}}.</w:t>
      </w:r>
    </w:p>
    <w:p>
      <w:pPr>
        <w:pStyle w:val="ListParagraph"/>
        <w:numPr>
          <w:ilvl w:val="0"/>
          <w:numId w:val="3"/>
        </w:numPr>
        <w:spacing w:after="60" w:before="60" w:line="300"/>
      </w:pPr>
      <w:r>
        <w:rPr>
          <w:rFonts w:ascii="Calibri" w:cs="Calibri" w:eastAsia="Calibri" w:hAnsi="Calibri"/>
          <w:color w:val="1F2937"/>
          <w:sz w:val="22"/>
          <w:szCs w:val="22"/>
        </w:rPr>
        <w:t xml:space="preserve">GET /api/models with no auth returns 401 and writes an auth.denied row.</w:t>
      </w:r>
    </w:p>
    <w:p>
      <w:pPr>
        <w:pStyle w:val="ListParagraph"/>
        <w:numPr>
          <w:ilvl w:val="0"/>
          <w:numId w:val="3"/>
        </w:numPr>
        <w:spacing w:after="60" w:before="60" w:line="300"/>
      </w:pPr>
      <w:r>
        <w:rPr>
          <w:rFonts w:ascii="Calibri" w:cs="Calibri" w:eastAsia="Calibri" w:hAnsi="Calibri"/>
          <w:color w:val="1F2937"/>
          <w:sz w:val="22"/>
          <w:szCs w:val="22"/>
        </w:rPr>
        <w:t xml:space="preserve">POST /v1/chat/completions with no X-Data-Classification returns 400 and writes an inference.blocked row.</w:t>
      </w:r>
    </w:p>
    <w:p>
      <w:pPr>
        <w:pStyle w:val="ListParagraph"/>
        <w:numPr>
          <w:ilvl w:val="0"/>
          <w:numId w:val="3"/>
        </w:numPr>
        <w:spacing w:after="60" w:before="60" w:line="300"/>
      </w:pPr>
      <w:r>
        <w:rPr>
          <w:rFonts w:ascii="Calibri" w:cs="Calibri" w:eastAsia="Calibri" w:hAnsi="Calibri"/>
          <w:color w:val="1F2937"/>
          <w:sz w:val="22"/>
          <w:szCs w:val="22"/>
        </w:rPr>
        <w:t xml:space="preserve">POST /v1/chat/completions with X-Data-Classification: classified and destination cloud returns 403 and writes a classification.violation at critical severity.</w:t>
      </w:r>
    </w:p>
    <w:p>
      <w:pPr>
        <w:pStyle w:val="ListParagraph"/>
        <w:numPr>
          <w:ilvl w:val="0"/>
          <w:numId w:val="3"/>
        </w:numPr>
        <w:spacing w:after="60" w:before="60" w:line="300"/>
      </w:pPr>
      <w:r>
        <w:rPr>
          <w:rFonts w:ascii="Calibri" w:cs="Calibri" w:eastAsia="Calibri" w:hAnsi="Calibri"/>
          <w:color w:val="1F2937"/>
          <w:sz w:val="22"/>
          <w:szCs w:val="22"/>
        </w:rPr>
        <w:t xml:space="preserve">Happy-path inference returns 200 with forge_metadata.request_id and writes an inference.completed row.</w:t>
      </w:r>
    </w:p>
    <w:p>
      <w:pPr>
        <w:pStyle w:val="ListParagraph"/>
        <w:numPr>
          <w:ilvl w:val="0"/>
          <w:numId w:val="3"/>
        </w:numPr>
        <w:spacing w:after="60" w:before="60" w:line="300"/>
      </w:pPr>
      <w:r>
        <w:rPr>
          <w:rFonts w:ascii="Calibri" w:cs="Calibri" w:eastAsia="Calibri" w:hAnsi="Calibri"/>
          <w:color w:val="1F2937"/>
          <w:sz w:val="22"/>
          <w:szCs w:val="22"/>
        </w:rPr>
        <w:t xml:space="preserve">Exceed RATE_LIMIT_PER_MINUTE — next request returns 429 with Retry-After: 60.</w:t>
      </w:r>
    </w:p>
    <w:p>
      <w:pPr>
        <w:pStyle w:val="ListParagraph"/>
        <w:numPr>
          <w:ilvl w:val="0"/>
          <w:numId w:val="3"/>
        </w:numPr>
        <w:spacing w:after="60" w:before="60" w:line="300"/>
      </w:pPr>
      <w:r>
        <w:rPr>
          <w:rFonts w:ascii="Calibri" w:cs="Calibri" w:eastAsia="Calibri" w:hAnsi="Calibri"/>
          <w:color w:val="1F2937"/>
          <w:sz w:val="22"/>
          <w:szCs w:val="22"/>
        </w:rPr>
        <w:t xml:space="preserve">Register → staged → approved → production (first identity) returns pending_second_approval: true.</w:t>
      </w:r>
    </w:p>
    <w:p>
      <w:pPr>
        <w:pStyle w:val="ListParagraph"/>
        <w:numPr>
          <w:ilvl w:val="0"/>
          <w:numId w:val="3"/>
        </w:numPr>
        <w:spacing w:after="60" w:before="60" w:line="300"/>
      </w:pPr>
      <w:r>
        <w:rPr>
          <w:rFonts w:ascii="Calibri" w:cs="Calibri" w:eastAsia="Calibri" w:hAnsi="Calibri"/>
          <w:color w:val="1F2937"/>
          <w:sz w:val="22"/>
          <w:szCs w:val="22"/>
        </w:rPr>
        <w:t xml:space="preserve">Production promotion by a second distinct identity flips the model live.</w:t>
      </w:r>
    </w:p>
    <w:p>
      <w:pPr>
        <w:pStyle w:val="ListParagraph"/>
        <w:numPr>
          <w:ilvl w:val="0"/>
          <w:numId w:val="3"/>
        </w:numPr>
        <w:spacing w:after="60" w:before="60" w:line="300"/>
      </w:pPr>
      <w:r>
        <w:rPr>
          <w:rFonts w:ascii="Calibri" w:cs="Calibri" w:eastAsia="Calibri" w:hAnsi="Calibri"/>
          <w:color w:val="1F2937"/>
          <w:sz w:val="22"/>
          <w:szCs w:val="22"/>
        </w:rPr>
        <w:t xml:space="preserve">POST /api/models/:id/promote { rollback_to_previous: true } reverts to the from state of the last model.promoted event.</w:t>
      </w:r>
    </w:p>
    <w:p>
      <w:pPr>
        <w:pStyle w:val="ListParagraph"/>
        <w:numPr>
          <w:ilvl w:val="0"/>
          <w:numId w:val="3"/>
        </w:numPr>
        <w:spacing w:after="60" w:before="60" w:line="300"/>
      </w:pPr>
      <w:r>
        <w:rPr>
          <w:rFonts w:ascii="Calibri" w:cs="Calibri" w:eastAsia="Calibri" w:hAnsi="Calibri"/>
          <w:color w:val="1F2937"/>
          <w:sz w:val="22"/>
          <w:szCs w:val="22"/>
        </w:rPr>
        <w:t xml:space="preserve">GET /api/audit/export?conmon_period=YYYY-QN returns a JSON bundle whose signature.value recomputes client-side.</w:t>
      </w:r>
    </w:p>
    <w:p>
      <w:pPr>
        <w:pStyle w:val="ListParagraph"/>
        <w:numPr>
          <w:ilvl w:val="0"/>
          <w:numId w:val="3"/>
        </w:numPr>
        <w:spacing w:after="60" w:before="60" w:line="300"/>
      </w:pPr>
      <w:r>
        <w:rPr>
          <w:rFonts w:ascii="Calibri" w:cs="Calibri" w:eastAsia="Calibri" w:hAnsi="Calibri"/>
          <w:color w:val="1F2937"/>
          <w:sz w:val="22"/>
          <w:szCs w:val="22"/>
        </w:rPr>
        <w:t xml:space="preserve">Dashboard loads Dashboard, Models, Endpoints, Inference Logs, Audit Events, Policy Violations without console errors.</w:t>
      </w:r>
    </w:p>
    <w:p>
      <w:pPr>
        <w:pStyle w:val="Heading2"/>
        <w:spacing w:after="120" w:before="280"/>
      </w:pPr>
      <w:r>
        <w:rPr>
          <w:rFonts w:ascii="Montserrat" w:cs="Montserrat" w:eastAsia="Montserrat" w:hAnsi="Montserrat"/>
          <w:b/>
          <w:bCs/>
          <w:color w:val="0F2A4A"/>
          <w:sz w:val="26"/>
          <w:szCs w:val="26"/>
        </w:rPr>
        <w:t xml:space="preserve">7.3 Pilot Sequencing</w:t>
      </w:r>
    </w:p>
    <w:p>
      <w:pPr>
        <w:spacing w:after="60" w:before="60" w:line="300"/>
      </w:pPr>
      <w:r>
        <w:rPr>
          <w:rFonts w:ascii="Calibri" w:cs="Calibri" w:eastAsia="Calibri" w:hAnsi="Calibri"/>
          <w:color w:val="1F2937"/>
          <w:sz w:val="22"/>
          <w:szCs w:val="22"/>
        </w:rPr>
        <w:t xml:space="preserve">The first external pilot should be a Forge-internal deployment running on a single on-prem host in the Plano office, with Forge operators as the only users. This is how we shake out every integration before a regulated client sees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Phase</w:t>
            </w:r>
          </w:p>
        </w:tc>
        <w:tc>
          <w:tcPr>
            <w:tcW w:type="dxa" w:w="28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Scope</w:t>
            </w:r>
          </w:p>
        </w:tc>
        <w:tc>
          <w:tcPr>
            <w:tcW w:type="dxa" w:w="28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Duration</w:t>
            </w:r>
          </w:p>
        </w:tc>
        <w:tc>
          <w:tcPr>
            <w:tcW w:type="dxa" w:w="23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Exit criteria</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0. Internal</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Forge-only; single host; llama-3.1-8b; all Forge users</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2 weeks</w:t>
            </w:r>
          </w:p>
        </w:tc>
        <w:tc>
          <w:tcPr>
            <w:tcW w:type="dxa" w:w="2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Smoke tests 1–12 pass; one full ConMon export archived</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1. Healthcare design-partner</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One healthcare design-partner; on-prem at their site; HIPAA policy profile; tokenization required on phi</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6 weeks</w:t>
            </w:r>
          </w:p>
        </w:tc>
        <w:tc>
          <w:tcPr>
            <w:tcW w:type="dxa" w:w="23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30 days of clean audit data; zero classification violations of PHI→cloud</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2. Federal design-partner</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One federal-adjacent design-partner; CMMC policy profile; air-gap evaluation</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8 weeks</w:t>
            </w:r>
          </w:p>
        </w:tc>
        <w:tc>
          <w:tcPr>
            <w:tcW w:type="dxa" w:w="2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FedRAMP Moderate control mapping confirmed by a 3PAO</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3. GA</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Productized deployment package; onboarding runbook; per-tenant signing keys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4 weeks</w:t>
            </w:r>
          </w:p>
        </w:tc>
        <w:tc>
          <w:tcPr>
            <w:tcW w:type="dxa" w:w="23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Forge BD team can scope and deploy without engineering on-site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4"/>
              <w:left w:val="single" w:color="0D9488" w:sz="24"/>
              <w:bottom w:val="single" w:color="F1F5F9" w:sz="4"/>
              <w:right w:val="single" w:color="F1F5F9" w:sz="4"/>
            </w:tcBorders>
            <w:shd w:fill="F1F5F9" w:val="clear"/>
            <w:tcMar>
              <w:top w:type="dxa" w:w="160"/>
              <w:left w:type="dxa" w:w="220"/>
              <w:bottom w:type="dxa" w:w="160"/>
              <w:right w:type="dxa" w:w="220"/>
            </w:tcMar>
          </w:tcPr>
          <w:p>
            <w:pPr>
              <w:spacing w:after="80" w:before="40"/>
            </w:pPr>
            <w:r>
              <w:rPr>
                <w:rFonts w:ascii="Montserrat" w:cs="Montserrat" w:eastAsia="Montserrat" w:hAnsi="Montserrat"/>
                <w:b/>
                <w:bCs/>
                <w:color w:val="0F2A4A"/>
                <w:sz w:val="22"/>
                <w:szCs w:val="22"/>
              </w:rPr>
              <w:t xml:space="preserve">Decision gate</w:t>
            </w:r>
          </w:p>
          <w:p>
            <w:pPr>
              <w:spacing w:after="60" w:before="60" w:line="300"/>
            </w:pPr>
            <w:r>
              <w:rPr>
                <w:rFonts w:ascii="Calibri" w:cs="Calibri" w:eastAsia="Calibri" w:hAnsi="Calibri"/>
                <w:color w:val="1F2937"/>
                <w:sz w:val="22"/>
                <w:szCs w:val="22"/>
              </w:rPr>
              <w:t xml:space="preserve">Phase 2 should not start until Phase 1 produces one full ConMon bundle that a HIPAA-qualified auditor accepts without follow-up questions. The bundle is the product. If the bundle has holes, everything above it is theater.</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8. Assumptions, Constraints, and Risks</w:t>
      </w:r>
    </w:p>
    <w:p>
      <w:pPr>
        <w:pStyle w:val="Heading2"/>
        <w:spacing w:after="120" w:before="280"/>
      </w:pPr>
      <w:r>
        <w:rPr>
          <w:rFonts w:ascii="Montserrat" w:cs="Montserrat" w:eastAsia="Montserrat" w:hAnsi="Montserrat"/>
          <w:b/>
          <w:bCs/>
          <w:color w:val="0F2A4A"/>
          <w:sz w:val="26"/>
          <w:szCs w:val="26"/>
        </w:rPr>
        <w:t xml:space="preserve">8.1 Assumptions</w:t>
      </w:r>
    </w:p>
    <w:p>
      <w:pPr>
        <w:pStyle w:val="ListParagraph"/>
        <w:numPr>
          <w:ilvl w:val="0"/>
          <w:numId w:val="2"/>
        </w:numPr>
        <w:spacing w:after="40" w:before="40" w:line="300"/>
      </w:pPr>
      <w:r>
        <w:rPr>
          <w:rFonts w:ascii="Calibri" w:cs="Calibri" w:eastAsia="Calibri" w:hAnsi="Calibri"/>
          <w:color w:val="1F2937"/>
          <w:sz w:val="22"/>
          <w:szCs w:val="22"/>
        </w:rPr>
        <w:t xml:space="preserve">Cloudflare Access is the identity source of truth for humans. Group membership is provisioned in the IdP or Access policies, not in D1.</w:t>
      </w:r>
    </w:p>
    <w:p>
      <w:pPr>
        <w:pStyle w:val="ListParagraph"/>
        <w:numPr>
          <w:ilvl w:val="0"/>
          <w:numId w:val="2"/>
        </w:numPr>
        <w:spacing w:after="40" w:before="40" w:line="300"/>
      </w:pPr>
      <w:r>
        <w:rPr>
          <w:rFonts w:ascii="Calibri" w:cs="Calibri" w:eastAsia="Calibri" w:hAnsi="Calibri"/>
          <w:color w:val="1F2937"/>
          <w:sz w:val="22"/>
          <w:szCs w:val="22"/>
        </w:rPr>
        <w:t xml:space="preserve">MVP is single-tenant (tenant_id='forge'). The schema keeps tenant_id on every row so multi-tenancy is a routing change, not a migration.</w:t>
      </w:r>
    </w:p>
    <w:p>
      <w:pPr>
        <w:pStyle w:val="ListParagraph"/>
        <w:numPr>
          <w:ilvl w:val="0"/>
          <w:numId w:val="2"/>
        </w:numPr>
        <w:spacing w:after="40" w:before="40" w:line="300"/>
      </w:pPr>
      <w:r>
        <w:rPr>
          <w:rFonts w:ascii="Calibri" w:cs="Calibri" w:eastAsia="Calibri" w:hAnsi="Calibri"/>
          <w:color w:val="1F2937"/>
          <w:sz w:val="22"/>
          <w:szCs w:val="22"/>
        </w:rPr>
        <w:t xml:space="preserve">Defaults seeded in 0001_initial.sql restrict CUI, PHI, and classified to on-prem only. Tune per engagement.</w:t>
      </w:r>
    </w:p>
    <w:p>
      <w:pPr>
        <w:pStyle w:val="ListParagraph"/>
        <w:numPr>
          <w:ilvl w:val="0"/>
          <w:numId w:val="2"/>
        </w:numPr>
        <w:spacing w:after="40" w:before="40" w:line="300"/>
      </w:pPr>
      <w:r>
        <w:rPr>
          <w:rFonts w:ascii="Calibri" w:cs="Calibri" w:eastAsia="Calibri" w:hAnsi="Calibri"/>
          <w:color w:val="1F2937"/>
          <w:sz w:val="22"/>
          <w:szCs w:val="22"/>
        </w:rPr>
        <w:t xml:space="preserve">Inference falls back to system_config.default_model (llama-3.1-8b) when the request omits model.</w:t>
      </w:r>
    </w:p>
    <w:p>
      <w:pPr>
        <w:pStyle w:val="ListParagraph"/>
        <w:numPr>
          <w:ilvl w:val="0"/>
          <w:numId w:val="2"/>
        </w:numPr>
        <w:spacing w:after="40" w:before="40" w:line="300"/>
      </w:pPr>
      <w:r>
        <w:rPr>
          <w:rFonts w:ascii="Calibri" w:cs="Calibri" w:eastAsia="Calibri" w:hAnsi="Calibri"/>
          <w:color w:val="1F2937"/>
          <w:sz w:val="22"/>
          <w:szCs w:val="22"/>
        </w:rPr>
        <w:t xml:space="preserve">ConMon period is quarterly (YYYY-QN) as computed at audit-write time. Monthly periods are a one-line change in audit.ts.</w:t>
      </w:r>
    </w:p>
    <w:p>
      <w:pPr>
        <w:pStyle w:val="ListParagraph"/>
        <w:numPr>
          <w:ilvl w:val="0"/>
          <w:numId w:val="2"/>
        </w:numPr>
        <w:spacing w:after="40" w:before="40" w:line="300"/>
      </w:pPr>
      <w:r>
        <w:rPr>
          <w:rFonts w:ascii="Calibri" w:cs="Calibri" w:eastAsia="Calibri" w:hAnsi="Calibri"/>
          <w:color w:val="1F2937"/>
          <w:sz w:val="22"/>
          <w:szCs w:val="22"/>
        </w:rPr>
        <w:t xml:space="preserve">HMAC signing in /api/audit/export is a placeholder; production moves to HSM-held key + detached signature.</w:t>
      </w:r>
    </w:p>
    <w:p>
      <w:pPr>
        <w:pStyle w:val="ListParagraph"/>
        <w:numPr>
          <w:ilvl w:val="0"/>
          <w:numId w:val="2"/>
        </w:numPr>
        <w:spacing w:after="40" w:before="40" w:line="300"/>
      </w:pPr>
      <w:r>
        <w:rPr>
          <w:rFonts w:ascii="Calibri" w:cs="Calibri" w:eastAsia="Calibri" w:hAnsi="Calibri"/>
          <w:color w:val="1F2937"/>
          <w:sz w:val="22"/>
          <w:szCs w:val="22"/>
        </w:rPr>
        <w:t xml:space="preserve">No PII is persisted in inference logs — only tokens, latency, status, request ID.</w:t>
      </w:r>
    </w:p>
    <w:p>
      <w:pPr>
        <w:pStyle w:val="ListParagraph"/>
        <w:numPr>
          <w:ilvl w:val="0"/>
          <w:numId w:val="2"/>
        </w:numPr>
        <w:spacing w:after="40" w:before="40" w:line="300"/>
      </w:pPr>
      <w:r>
        <w:rPr>
          <w:rFonts w:ascii="Calibri" w:cs="Calibri" w:eastAsia="Calibri" w:hAnsi="Calibri"/>
          <w:color w:val="1F2937"/>
          <w:sz w:val="22"/>
          <w:szCs w:val="22"/>
        </w:rPr>
        <w:t xml:space="preserve">Size limits are driven by Content-Length; chunked requests without a declared length are bounded only by the Worker 100 MB ceiling. Listed as a hardening TODO.</w:t>
      </w:r>
    </w:p>
    <w:p>
      <w:pPr>
        <w:pStyle w:val="Heading2"/>
        <w:spacing w:after="120" w:before="280"/>
      </w:pPr>
      <w:r>
        <w:rPr>
          <w:rFonts w:ascii="Montserrat" w:cs="Montserrat" w:eastAsia="Montserrat" w:hAnsi="Montserrat"/>
          <w:b/>
          <w:bCs/>
          <w:color w:val="0F2A4A"/>
          <w:sz w:val="26"/>
          <w:szCs w:val="26"/>
        </w:rPr>
        <w:t xml:space="preserve">8.2 Known Constraints (as of April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Constraint</w:t>
            </w:r>
          </w:p>
        </w:tc>
        <w:tc>
          <w:tcPr>
            <w:tcW w:type="dxa" w:w="69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Mitigation / plan</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Staging D1 not yet provisioned (account at 10-DB cap)</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Raise Cloudflare D1 limit via support, or prune unused DBs. Until then, staging points at production D1 with ENVIRONMENT=staging stamped on audit rows.</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Secrets not yet set</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Run wrangler secret put for API_SECRET, LITELLM_ENDPOINT, MLFLOW_ENDPOINT, CF_ACCESS_CLIENT_ID, CF_ACCESS_CLIENT_SECRET — for both production and staging — before first deploy.</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 Access application not yet bound</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Worker falls back to bearer auth until Access is bound. Before pilot, create the Access app for the worker hostname, provision groups in the IdP, and fill in ACCESS_AUD, ACCESS_TEAM_DOMAIN, ACCESS_JWKS_URL.</w:t>
            </w:r>
          </w:p>
        </w:tc>
      </w:tr>
      <w:tr>
        <w:tc>
          <w:tcPr>
            <w:tcW w:type="dxa" w:w="24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No formal partner agreements signed</w:t>
            </w:r>
          </w:p>
        </w:tc>
        <w:tc>
          <w:tcPr>
            <w:tcW w:type="dxa" w:w="69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Technology names (ThreatLocker, Xiid, Ordr, LiteLLM, Ollama) do not appear in external materials until formal agreements are signed.</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Single-region on-prem deployment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Cross-site HA is Phase 2. MVP is one host per tenant.</w:t>
            </w:r>
          </w:p>
        </w:tc>
      </w:tr>
    </w:tbl>
    <w:p>
      <w:pPr>
        <w:pStyle w:val="Heading2"/>
        <w:spacing w:after="120" w:before="280"/>
      </w:pPr>
      <w:r>
        <w:rPr>
          <w:rFonts w:ascii="Montserrat" w:cs="Montserrat" w:eastAsia="Montserrat" w:hAnsi="Montserrat"/>
          <w:b/>
          <w:bCs/>
          <w:color w:val="0F2A4A"/>
          <w:sz w:val="26"/>
          <w:szCs w:val="26"/>
        </w:rPr>
        <w:t xml:space="preserve">8.3 Residual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80"/>
        <w:gridCol w:w="2180"/>
      </w:tblGrid>
      <w:tr>
        <w:trPr>
          <w:tblHeader/>
        </w:trPr>
        <w:tc>
          <w:tcPr>
            <w:tcW w:type="dxa" w:w="22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Risk</w:t>
            </w:r>
          </w:p>
        </w:tc>
        <w:tc>
          <w:tcPr>
            <w:tcW w:type="dxa" w:w="28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Description</w:t>
            </w:r>
          </w:p>
        </w:tc>
        <w:tc>
          <w:tcPr>
            <w:tcW w:type="dxa" w:w="21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Likelihood</w:t>
            </w:r>
          </w:p>
        </w:tc>
        <w:tc>
          <w:tcPr>
            <w:tcW w:type="dxa" w:w="218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Shared-secret signing</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Evidence bundles signed with HMAC/API_SECRET are only as trusted as API_SECRET itself.</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Medium — pre-pilot</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Move to HSM/KMS or Sigstore before any regulated pilot.</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Chunked-body bypass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Requests without Content-Length are bounded only by the 100 MB Worker ceiling.</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Low</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Add streaming bound in Worker; listed as hardening TODO.</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RBAC-in-code opacity</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In-code role table is hard for auditors to diff.</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Medium</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Move to OPA/Cedar; publish policy bundle.</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Tenant isolation at rate-limit layer</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KV namespace is shared across tenants; a noisy tenant could exhaust counters for others.</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Low — MVP scale</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Per-tenant KV namespaces in 6.3.</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Model-artifact provenance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artifact_signature and provenance_uri are placeholders today.</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Medium</w:t>
            </w:r>
          </w:p>
        </w:tc>
        <w:tc>
          <w:tcPr>
            <w:tcW w:type="dxa" w:w="21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Wire up signed-upload + cosign verification before Phase 2.</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Cloudflare dependency</w:t>
            </w:r>
          </w:p>
        </w:tc>
        <w:tc>
          <w:tcPr>
            <w:tcW w:type="dxa" w:w="28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Control plane is Cloudflare-native; a Cloudflare-wide outage halts governance actions (not inference).</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Low — impact managed</w:t>
            </w:r>
          </w:p>
        </w:tc>
        <w:tc>
          <w:tcPr>
            <w:tcW w:type="dxa" w:w="218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Inference continues on-prem; audit queues locally and flushes on reconnect (Phase 2 feature).</w:t>
            </w:r>
          </w:p>
        </w:tc>
      </w:tr>
    </w:tbl>
    <w:p>
      <w:r>
        <w:br w:type="page"/>
      </w:r>
    </w:p>
    <w:p>
      <w:pPr>
        <w:pStyle w:val="Heading1"/>
        <w:pBdr>
          <w:bottom w:val="single" w:color="0D9488" w:sz="12" w:space="6"/>
        </w:pBdr>
        <w:spacing w:after="180" w:before="360"/>
      </w:pPr>
      <w:r>
        <w:rPr>
          <w:rFonts w:ascii="Montserrat" w:cs="Montserrat" w:eastAsia="Montserrat" w:hAnsi="Montserrat"/>
          <w:b/>
          <w:bCs/>
          <w:color w:val="0F2A4A"/>
          <w:sz w:val="32"/>
          <w:szCs w:val="32"/>
        </w:rPr>
        <w:t xml:space="preserve">9. Next Steps</w:t>
      </w:r>
    </w:p>
    <w:p>
      <w:pPr>
        <w:spacing w:after="60" w:before="60" w:line="300"/>
      </w:pPr>
      <w:r>
        <w:rPr>
          <w:rFonts w:ascii="Calibri" w:cs="Calibri" w:eastAsia="Calibri" w:hAnsi="Calibri"/>
          <w:color w:val="1F2937"/>
          <w:sz w:val="22"/>
          <w:szCs w:val="22"/>
        </w:rPr>
        <w:t xml:space="preserve">The concrete actions below are sequenced for the next 30 days. Each one has an owner, a deliverable, and an evidence artifact that proves it's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3760"/>
      </w:tblGrid>
      <w:tr>
        <w:trPr>
          <w:tblHeader/>
        </w:trPr>
        <w:tc>
          <w:tcPr>
            <w:tcW w:type="dxa" w:w="6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w:t>
            </w:r>
          </w:p>
        </w:tc>
        <w:tc>
          <w:tcPr>
            <w:tcW w:type="dxa" w:w="30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Action</w:t>
            </w:r>
          </w:p>
        </w:tc>
        <w:tc>
          <w:tcPr>
            <w:tcW w:type="dxa" w:w="200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Owner</w:t>
            </w:r>
          </w:p>
        </w:tc>
        <w:tc>
          <w:tcPr>
            <w:tcW w:type="dxa" w:w="3760"/>
            <w:tcBorders>
              <w:top w:val="single" w:color="0F2A4A" w:sz="1"/>
              <w:left w:val="single" w:color="0F2A4A" w:sz="1"/>
              <w:bottom w:val="single" w:color="0F2A4A" w:sz="1"/>
              <w:right w:val="single" w:color="0F2A4A" w:sz="1"/>
            </w:tcBorders>
            <w:shd w:fill="0F2A4A" w:val="clear"/>
            <w:tcMar>
              <w:top w:type="dxa" w:w="100"/>
              <w:left w:type="dxa" w:w="140"/>
              <w:bottom w:type="dxa" w:w="100"/>
              <w:right w:type="dxa" w:w="140"/>
            </w:tcMar>
          </w:tcPr>
          <w:p>
            <w:pPr>
              <w:spacing w:after="0" w:before="0"/>
            </w:pPr>
            <w:r>
              <w:rPr>
                <w:rFonts w:ascii="Montserrat" w:cs="Montserrat" w:eastAsia="Montserrat" w:hAnsi="Montserrat"/>
                <w:b/>
                <w:bCs/>
                <w:color w:val="FFFFFF"/>
                <w:sz w:val="20"/>
                <w:szCs w:val="20"/>
              </w:rPr>
              <w:t xml:space="preserve">Evidence of completion</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Raise Cloudflare D1 cap; provision forge-closedml-db-staging</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wrangler.toml updated; migrations applied; staging audit row with ENVIRONMENT=production</w:t>
            </w:r>
          </w:p>
        </w:tc>
      </w:tr>
      <w:tr>
        <w:tc>
          <w:tcPr>
            <w:tcW w:type="dxa" w:w="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2</w:t>
            </w:r>
          </w:p>
        </w:tc>
        <w:tc>
          <w:tcPr>
            <w:tcW w:type="dxa" w:w="3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Put all secrets for production and staging</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wrangler secret list shows all six for each env</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Bind Cloudflare Access application; provision admin/ml-operator/ml-approver groups in IdP</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 + IT</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Unauthenticated /api/models returns 401 with Access challenge; JWT auth path audited</w:t>
            </w:r>
          </w:p>
        </w:tc>
      </w:tr>
      <w:tr>
        <w:tc>
          <w:tcPr>
            <w:tcW w:type="dxa" w:w="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4</w:t>
            </w:r>
          </w:p>
        </w:tc>
        <w:tc>
          <w:tcPr>
            <w:tcW w:type="dxa" w:w="3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Replace HMAC evidence signing with HSM/KMS-held key</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/api/audit/export bundle verifiable by a detached signature; public verifier published</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Run full 12-step smoke test suite on production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Signed test report archived with the ConMon bundle</w:t>
            </w:r>
          </w:p>
        </w:tc>
      </w:tr>
      <w:tr>
        <w:tc>
          <w:tcPr>
            <w:tcW w:type="dxa" w:w="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6</w:t>
            </w:r>
          </w:p>
        </w:tc>
        <w:tc>
          <w:tcPr>
            <w:tcW w:type="dxa" w:w="3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Seed engagement-specific classification policies (HIPAA profile first)</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 + Compliance</w:t>
            </w:r>
          </w:p>
        </w:tc>
        <w:tc>
          <w:tcPr>
            <w:tcW w:type="dxa" w:w="37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classification_policies rows for the target tenant; policy.changed audit row per change</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Dry-run two-person approval with three distinct test identities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Three audit rows: two model.promotion.approval_recorded, one model.promoted</w:t>
            </w:r>
          </w:p>
        </w:tc>
      </w:tr>
      <w:tr>
        <w:tc>
          <w:tcPr>
            <w:tcW w:type="dxa" w:w="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8</w:t>
            </w:r>
          </w:p>
        </w:tc>
        <w:tc>
          <w:tcPr>
            <w:tcW w:type="dxa" w:w="3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Produce first ConMon evidence bundle and walk it with a HIPAA auditor</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Compliance + Stan</w:t>
            </w:r>
          </w:p>
        </w:tc>
        <w:tc>
          <w:tcPr>
            <w:tcW w:type="dxa" w:w="37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Auditor sign-off or gap list; gap list becomes the Phase 1 readiness backlog</w:t>
            </w:r>
          </w:p>
        </w:tc>
      </w:tr>
      <w:tr>
        <w:tc>
          <w:tcPr>
            <w:tcW w:type="dxa" w:w="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9</w:t>
            </w:r>
          </w:p>
        </w:tc>
        <w:tc>
          <w:tcPr>
            <w:tcW w:type="dxa" w:w="3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Stand up CI pipeline (typecheck, tests, Semgrep, npm audit, wrangler dry-run)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PR checks green on the main branch</w:t>
            </w:r>
          </w:p>
        </w:tc>
      </w:tr>
      <w:tr>
        <w:tc>
          <w:tcPr>
            <w:tcW w:type="dxa" w:w="6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10</w:t>
            </w:r>
          </w:p>
        </w:tc>
        <w:tc>
          <w:tcPr>
            <w:tcW w:type="dxa" w:w="3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Draft internal-use deployment runbook (for Forge BD + Engineering)</w:t>
            </w:r>
          </w:p>
        </w:tc>
        <w:tc>
          <w:tcPr>
            <w:tcW w:type="dxa" w:w="200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Engineering + BD</w:t>
            </w:r>
          </w:p>
        </w:tc>
        <w:tc>
          <w:tcPr>
            <w:tcW w:type="dxa" w:w="3760"/>
            <w:tcBorders>
              <w:top w:val="single" w:color="D1D5DB" w:sz="1"/>
              <w:left w:val="single" w:color="D1D5DB" w:sz="1"/>
              <w:bottom w:val="single" w:color="D1D5DB" w:sz="1"/>
              <w:right w:val="single" w:color="D1D5DB" w:sz="1"/>
            </w:tcBorders>
            <w:shd w:fill="F8FAFC" w:val="clear"/>
            <w:tcMar>
              <w:top w:type="dxa" w:w="90"/>
              <w:left w:type="dxa" w:w="140"/>
              <w:bottom w:type="dxa" w:w="90"/>
              <w:right w:type="dxa" w:w="140"/>
            </w:tcMar>
          </w:tcPr>
          <w:p>
            <w:pPr>
              <w:spacing w:after="0" w:before="0"/>
            </w:pPr>
            <w:r>
              <w:rPr>
                <w:rFonts w:ascii="Calibri" w:cs="Calibri" w:eastAsia="Calibri" w:hAnsi="Calibri"/>
                <w:b w:val="false"/>
                <w:bCs w:val="false"/>
                <w:color w:val="1F2937"/>
                <w:sz w:val="20"/>
                <w:szCs w:val="20"/>
              </w:rPr>
              <w:t xml:space="preserve">Runbook doc in the Forge playbook; rehearsed once end-to-end</w:t>
            </w:r>
          </w:p>
        </w:tc>
      </w:tr>
    </w:tbl>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F5F9" w:sz="4"/>
              <w:left w:val="single" w:color="0D9488" w:sz="24"/>
              <w:bottom w:val="single" w:color="F1F5F9" w:sz="4"/>
              <w:right w:val="single" w:color="F1F5F9" w:sz="4"/>
            </w:tcBorders>
            <w:shd w:fill="F1F5F9" w:val="clear"/>
            <w:tcMar>
              <w:top w:type="dxa" w:w="160"/>
              <w:left w:type="dxa" w:w="220"/>
              <w:bottom w:type="dxa" w:w="160"/>
              <w:right w:type="dxa" w:w="220"/>
            </w:tcMar>
          </w:tcPr>
          <w:p>
            <w:pPr>
              <w:spacing w:after="80" w:before="40"/>
            </w:pPr>
            <w:r>
              <w:rPr>
                <w:rFonts w:ascii="Montserrat" w:cs="Montserrat" w:eastAsia="Montserrat" w:hAnsi="Montserrat"/>
                <w:b/>
                <w:bCs/>
                <w:color w:val="0F2A4A"/>
                <w:sz w:val="22"/>
                <w:szCs w:val="22"/>
              </w:rPr>
              <w:t xml:space="preserve">Ask</w:t>
            </w:r>
          </w:p>
          <w:p>
            <w:pPr>
              <w:spacing w:after="60" w:before="60" w:line="300"/>
            </w:pPr>
            <w:r>
              <w:rPr>
                <w:rFonts w:ascii="Calibri" w:cs="Calibri" w:eastAsia="Calibri" w:hAnsi="Calibri"/>
                <w:b/>
                <w:bCs/>
                <w:color w:val="0F2A4A"/>
                <w:sz w:val="22"/>
                <w:szCs w:val="22"/>
              </w:rPr>
              <w:t xml:space="preserve">Before committing engineering cycles to the Phase 1 healthcare design-partner deployment, please confirm: </w:t>
            </w:r>
          </w:p>
          <w:p>
            <w:pPr>
              <w:pStyle w:val="ListParagraph"/>
              <w:numPr>
                <w:ilvl w:val="0"/>
                <w:numId w:val="2"/>
              </w:numPr>
              <w:spacing w:after="40" w:before="40" w:line="300"/>
            </w:pPr>
            <w:r>
              <w:rPr>
                <w:rFonts w:ascii="Calibri" w:cs="Calibri" w:eastAsia="Calibri" w:hAnsi="Calibri"/>
                <w:color w:val="1F2937"/>
                <w:sz w:val="22"/>
                <w:szCs w:val="22"/>
              </w:rPr>
              <w:t xml:space="preserve">Which healthcare design-partner are we targeting (so we can tune the classification policy profile to their data classes)?</w:t>
            </w:r>
          </w:p>
          <w:p>
            <w:pPr>
              <w:pStyle w:val="ListParagraph"/>
              <w:numPr>
                <w:ilvl w:val="0"/>
                <w:numId w:val="2"/>
              </w:numPr>
              <w:spacing w:after="40" w:before="40" w:line="300"/>
            </w:pPr>
            <w:r>
              <w:rPr>
                <w:rFonts w:ascii="Calibri" w:cs="Calibri" w:eastAsia="Calibri" w:hAnsi="Calibri"/>
                <w:color w:val="1F2937"/>
                <w:sz w:val="22"/>
                <w:szCs w:val="22"/>
              </w:rPr>
              <w:t xml:space="preserve">Is the HSM/KMS signing change a hard prerequisite for Phase 1, or can we pilot with HMAC + signed attestation that signing is moving to KMS before Phase 2?</w:t>
            </w:r>
          </w:p>
          <w:p>
            <w:pPr>
              <w:pStyle w:val="ListParagraph"/>
              <w:numPr>
                <w:ilvl w:val="0"/>
                <w:numId w:val="2"/>
              </w:numPr>
              <w:spacing w:after="40" w:before="40" w:line="300"/>
            </w:pPr>
            <w:r>
              <w:rPr>
                <w:rFonts w:ascii="Calibri" w:cs="Calibri" w:eastAsia="Calibri" w:hAnsi="Calibri"/>
                <w:color w:val="1F2937"/>
                <w:sz w:val="22"/>
                <w:szCs w:val="22"/>
              </w:rPr>
              <w:t xml:space="preserve">Should ForgeAI Govern's AI asset inventory consume the ForgeClosedML model registry in Phase 1, or is that a Phase 2 integration?</w:t>
            </w:r>
          </w:p>
        </w:tc>
      </w:tr>
    </w:tbl>
    <w:p>
      <w:pPr>
        <w:spacing w:after="240" w:before="240"/>
      </w:pPr>
      <w:r>
        <w:t xml:space="preserve"/>
      </w:r>
    </w:p>
    <w:p>
      <w:pPr>
        <w:spacing w:after="240" w:before="240"/>
      </w:pPr>
      <w:r>
        <w:t xml:space="preserve"/>
      </w:r>
    </w:p>
    <w:p>
      <w:pPr>
        <w:spacing w:after="120" w:before="400"/>
        <w:jc w:val="center"/>
      </w:pPr>
      <w:r>
        <w:rPr>
          <w:rFonts w:ascii="Calibri" w:cs="Calibri" w:eastAsia="Calibri" w:hAnsi="Calibri"/>
          <w:i/>
          <w:iCs/>
          <w:color w:val="4B5563"/>
          <w:sz w:val="20"/>
          <w:szCs w:val="20"/>
        </w:rPr>
        <w:t xml:space="preserve">— End of Document —</w:t>
      </w:r>
    </w:p>
    <w:p>
      <w:pPr>
        <w:spacing w:after="40" w:before="80"/>
        <w:jc w:val="center"/>
      </w:pPr>
      <w:r>
        <w:rPr>
          <w:rFonts w:ascii="Montserrat" w:cs="Montserrat" w:eastAsia="Montserrat" w:hAnsi="Montserrat"/>
          <w:b/>
          <w:bCs/>
          <w:color w:val="0F2A4A"/>
          <w:sz w:val="20"/>
          <w:szCs w:val="20"/>
        </w:rPr>
        <w:t xml:space="preserve">FORGE CYBER DEFENSE</w:t>
      </w:r>
    </w:p>
    <w:p>
      <w:pPr>
        <w:spacing w:after="40" w:before="40"/>
        <w:jc w:val="center"/>
      </w:pPr>
      <w:r>
        <w:rPr>
          <w:rFonts w:ascii="Calibri" w:cs="Calibri" w:eastAsia="Calibri" w:hAnsi="Calibri"/>
          <w:i/>
          <w:iCs/>
          <w:color w:val="0D9488"/>
          <w:sz w:val="18"/>
          <w:szCs w:val="18"/>
        </w:rPr>
        <w:t xml:space="preserve">Security Forged. Trust Proven.</w:t>
      </w:r>
    </w:p>
    <w:p>
      <w:pPr>
        <w:spacing w:after="40" w:before="40"/>
        <w:jc w:val="center"/>
      </w:pPr>
      <w:r>
        <w:rPr>
          <w:rFonts w:ascii="Calibri" w:cs="Calibri" w:eastAsia="Calibri" w:hAnsi="Calibri"/>
          <w:color w:val="4B5563"/>
          <w:sz w:val="18"/>
          <w:szCs w:val="18"/>
        </w:rPr>
        <w:t xml:space="preserve">469-404-3899  |  info@forgecyberdefense.com  |  www.forgecyberdefense.com</w:t>
      </w:r>
    </w:p>
    <w:sectPr>
      <w:headerReference w:type="default" r:id="rId7"/>
      <w:footerReference w:type="default" r:id="rId8"/>
      <w:pgSz w:w="12240" w:h="15840" w:orient="portrait"/>
      <w:pgMar w:top="1440" w:right="1440" w:bottom="1440" w:left="1440" w:header="720" w:footer="720" w:gutter="0"/>
      <w:pgBorders>
        <w:top w:val="single" w:color="0F2A4A" w:sz="12" w:space="20"/>
        <w:left w:val="single" w:color="0D9488" w:sz="6" w:space="20"/>
        <w:bottom w:val="single" w:color="0F2A4A" w:sz="12" w:space="20"/>
        <w:right w:val="single" w:color="0D9488"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A4A" w:sz="8" w:space="6"/>
      </w:pBdr>
      <w:tabs>
        <w:tab w:val="right" w:pos="9026"/>
      </w:tabs>
    </w:pPr>
    <w:r>
      <w:rPr>
        <w:rFonts w:ascii="Calibri" w:cs="Calibri" w:eastAsia="Calibri" w:hAnsi="Calibri"/>
        <w:color w:val="4B5563"/>
        <w:sz w:val="16"/>
        <w:szCs w:val="16"/>
      </w:rPr>
      <w:t xml:space="preserve">Veteran-Owned  |  Plano, Texas  |  www.forgecyberdefense.com</w:t>
    </w:r>
    <w:r>
      <w:rPr>
        <w:rFonts w:ascii="Calibri" w:cs="Calibri" w:eastAsia="Calibri" w:hAnsi="Calibri"/>
        <w:color w:val="4B5563"/>
        <w:sz w:val="16"/>
        <w:szCs w:val="16"/>
      </w:rPr>
      <w:t xml:space="preserve">	Page </w:t>
    </w:r>
    <w:r>
      <w:rPr>
        <w:rFonts w:ascii="Calibri" w:cs="Calibri" w:eastAsia="Calibri" w:hAnsi="Calibri"/>
        <w:b/>
        <w:bCs/>
        <w:color w:val="0F2A4A"/>
        <w:sz w:val="16"/>
        <w:szCs w:val="16"/>
      </w:rPr>
      <w:fldChar w:fldCharType="begin"/>
      <w:instrText xml:space="preserve">PAGE</w:instrText>
      <w:fldChar w:fldCharType="separate"/>
      <w:fldChar w:fldCharType="end"/>
    </w:r>
    <w:r>
      <w:rPr>
        <w:rFonts w:ascii="Calibri" w:cs="Calibri" w:eastAsia="Calibri" w:hAnsi="Calibri"/>
        <w:color w:val="4B5563"/>
        <w:sz w:val="16"/>
        <w:szCs w:val="16"/>
      </w:rPr>
      <w:t xml:space="preserve"> of </w:t>
    </w:r>
    <w:r>
      <w:rPr>
        <w:rFonts w:ascii="Calibri" w:cs="Calibri" w:eastAsia="Calibri" w:hAnsi="Calibri"/>
        <w:b/>
        <w:bCs/>
        <w:color w:val="0F2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8" w:space="6"/>
      </w:pBdr>
      <w:tabs>
        <w:tab w:val="right" w:pos="9026"/>
      </w:tabs>
    </w:pPr>
    <w:r>
      <w:rPr>
        <w:rFonts w:ascii="Montserrat" w:cs="Montserrat" w:eastAsia="Montserrat" w:hAnsi="Montserrat"/>
        <w:b/>
        <w:bCs/>
        <w:color w:val="0F2A4A"/>
        <w:sz w:val="18"/>
        <w:szCs w:val="18"/>
      </w:rPr>
      <w:t xml:space="preserve">FORGE CYBER DEFENSE</w:t>
    </w:r>
    <w:r>
      <w:rPr>
        <w:rFonts w:ascii="Montserrat" w:cs="Montserrat" w:eastAsia="Montserrat" w:hAnsi="Montserrat"/>
        <w:color w:val="4B5563"/>
        <w:sz w:val="18"/>
        <w:szCs w:val="18"/>
      </w:rPr>
      <w:t xml:space="preserve">    |    </w:t>
    </w:r>
    <w:r>
      <w:rPr>
        <w:rFonts w:ascii="Montserrat" w:cs="Montserrat" w:eastAsia="Montserrat" w:hAnsi="Montserrat"/>
        <w:b/>
        <w:bCs/>
        <w:color w:val="0D9488"/>
        <w:sz w:val="18"/>
        <w:szCs w:val="18"/>
      </w:rPr>
      <w:t xml:space="preserve">ForgeClosedML</w:t>
    </w:r>
    <w:r>
      <w:rPr>
        <w:rFonts w:ascii="Calibri" w:cs="Calibri" w:eastAsia="Calibri" w:hAnsi="Calibri"/>
        <w:color w:val="4B5563"/>
        <w:sz w:val="18"/>
        <w:szCs w:val="18"/>
      </w:rPr>
      <w:t xml:space="preserve">	Closed-Environment ML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ontserrat" w:cs="Montserrat" w:eastAsia="Montserrat" w:hAnsi="Montserrat"/>
      <w:b/>
      <w:bCs/>
      <w:color w:val="0F2A4A"/>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0F2A4A"/>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ForgeClosedML — Closed-Environment ML Architecture</dc:title>
  <dc:creator>Forge Cyber Defense</dc:creator>
  <dc:description>Design, recommendations, and pilot roadmap</dc:description>
  <cp:lastModifiedBy>Un-named</cp:lastModifiedBy>
  <cp:revision>1</cp:revision>
  <dcterms:created xsi:type="dcterms:W3CDTF">2026-04-22T21:44:45.347Z</dcterms:created>
  <dcterms:modified xsi:type="dcterms:W3CDTF">2026-04-22T21:44:45.348Z</dcterms:modified>
</cp:coreProperties>
</file>

<file path=docProps/custom.xml><?xml version="1.0" encoding="utf-8"?>
<Properties xmlns="http://schemas.openxmlformats.org/officeDocument/2006/custom-properties" xmlns:vt="http://schemas.openxmlformats.org/officeDocument/2006/docPropsVTypes"/>
</file>