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16232B"/>
          <w:spacing w:val="-10"/>
          <w:sz w:val="40"/>
          <w:szCs w:val="40"/>
        </w:rPr>
        <w:t xml:space="preserve">Bjorn Hettema</w:t>
      </w:r>
    </w:p>
    <w:p>
      <w:pPr>
        <w:spacing w:after="70"/>
      </w:pPr>
      <w:r>
        <w:rPr>
          <w:rFonts w:ascii="Arial" w:cs="Arial" w:eastAsia="Arial" w:hAnsi="Arial"/>
          <w:color w:val="0E6E7D"/>
          <w:sz w:val="19"/>
          <w:szCs w:val="19"/>
        </w:rPr>
        <w:t xml:space="preserve">B.Sc. Spatial Development  ·  Urban data, geospatial analysis &amp; routing systems</w:t>
      </w:r>
    </w:p>
    <w:p>
      <w:pPr>
        <w:spacing w:after="20"/>
      </w:pPr>
      <w:r>
        <w:rPr>
          <w:rFonts w:ascii="Arial" w:cs="Arial" w:eastAsia="Arial" w:hAnsi="Arial"/>
          <w:color w:val="5E7180"/>
          <w:sz w:val="17"/>
          <w:szCs w:val="17"/>
        </w:rPr>
        <w:t xml:space="preserve">contact.hettema@gmail.com  ·  Bangkok, Thailand (Dutch national)</w:t>
      </w:r>
    </w:p>
    <w:p>
      <w:pPr>
        <w:pBdr>
          <w:bottom w:val="single" w:color="0E6E7D" w:sz="8" w:space="6"/>
        </w:pBdr>
        <w:spacing w:after="40"/>
      </w:pPr>
      <w:hyperlink w:history="1" r:id="rIdzlmdh45f-bjcw--jwrajm">
        <w:r>
          <w:rPr>
            <w:rFonts w:ascii="Arial" w:cs="Arial" w:eastAsia="Arial" w:hAnsi="Arial"/>
            <w:color w:val="0E6E7D"/>
            <w:sz w:val="17"/>
            <w:szCs w:val="17"/>
            <w:u w:val="single"/>
          </w:rPr>
          <w:t xml:space="preserve">bjornhettema.github.io</w:t>
        </w:r>
      </w:hyperlink>
      <w:r>
        <w:rPr>
          <w:rFonts w:ascii="Arial" w:cs="Arial" w:eastAsia="Arial" w:hAnsi="Arial"/>
          <w:color w:val="5E7180"/>
          <w:sz w:val="17"/>
          <w:szCs w:val="17"/>
        </w:rPr>
        <w:t xml:space="preserve">   ·   </w:t>
      </w:r>
      <w:hyperlink w:history="1" r:id="rIdx6znn7zmmhj5n79e_m4at">
        <w:r>
          <w:rPr>
            <w:rFonts w:ascii="Arial" w:cs="Arial" w:eastAsia="Arial" w:hAnsi="Arial"/>
            <w:color w:val="0E6E7D"/>
            <w:sz w:val="17"/>
            <w:szCs w:val="17"/>
            <w:u w:val="single"/>
          </w:rPr>
          <w:t xml:space="preserve">linkedin.com/in/bjorn-hettema-02286515b</w:t>
        </w:r>
      </w:hyperlink>
    </w:p>
    <w:p>
      <w:pPr>
        <w:pBdr>
          <w:bottom w:val="single" w:color="0E6E7D" w:sz="6" w:space="3"/>
        </w:pBdr>
        <w:spacing w:after="90" w:before="260"/>
      </w:pPr>
      <w:r>
        <w:rPr>
          <w:rFonts w:ascii="Arial" w:cs="Arial" w:eastAsia="Arial" w:hAnsi="Arial"/>
          <w:b/>
          <w:bCs/>
          <w:color w:val="0E6E7D"/>
          <w:spacing w:val="24"/>
          <w:sz w:val="17"/>
          <w:szCs w:val="17"/>
        </w:rPr>
        <w:t xml:space="preserve">PROFILE</w:t>
      </w:r>
    </w:p>
    <w:p>
      <w:pPr>
        <w:spacing w:after="40" w:line="250"/>
      </w:pPr>
      <w:r>
        <w:rPr>
          <w:rFonts w:ascii="Arial" w:cs="Arial" w:eastAsia="Arial" w:hAnsi="Arial"/>
          <w:color w:val="16232B"/>
          <w:sz w:val="19"/>
          <w:szCs w:val="19"/>
        </w:rPr>
        <w:t xml:space="preserve">Spatial planner with a three-year foundation in electrical and computer engineering, working where urban systems meet software. Built a sensor-driven dynamic routing system in Python for a commercial IoT waste product, and map and analyse urban networks in QGIS, Overpass/OpenStreetMap and R. Fifteen months of applied research and fieldwork across Vietnam and Indonesia, documented publicly by both host universities.</w:t>
      </w:r>
    </w:p>
    <w:p>
      <w:pPr>
        <w:pBdr>
          <w:bottom w:val="single" w:color="0E6E7D" w:sz="6" w:space="3"/>
        </w:pBdr>
        <w:spacing w:after="90" w:before="260"/>
      </w:pPr>
      <w:r>
        <w:rPr>
          <w:rFonts w:ascii="Arial" w:cs="Arial" w:eastAsia="Arial" w:hAnsi="Arial"/>
          <w:b/>
          <w:bCs/>
          <w:color w:val="0E6E7D"/>
          <w:spacing w:val="24"/>
          <w:sz w:val="17"/>
          <w:szCs w:val="17"/>
        </w:rPr>
        <w:t xml:space="preserve">TECHNICAL SKILLS</w:t>
      </w:r>
    </w:p>
    <w:p>
      <w:pPr>
        <w:spacing w:after="46" w:line="240"/>
        <w:ind w:left="1656" w:hanging="1656"/>
      </w:pPr>
      <w:r>
        <w:rPr>
          <w:rFonts w:ascii="Arial" w:cs="Arial" w:eastAsia="Arial" w:hAnsi="Arial"/>
          <w:b/>
          <w:bCs/>
          <w:color w:val="0E6E7D"/>
          <w:sz w:val="18"/>
          <w:szCs w:val="18"/>
        </w:rPr>
        <w:t xml:space="preserve">Geospatial   </w:t>
      </w:r>
      <w:r>
        <w:rPr>
          <w:rFonts w:ascii="Arial" w:cs="Arial" w:eastAsia="Arial" w:hAnsi="Arial"/>
          <w:color w:val="16232B"/>
          <w:sz w:val="18"/>
          <w:szCs w:val="18"/>
        </w:rPr>
        <w:t xml:space="preserve">QGIS · ArcGIS · Overpass Turbo / OpenStreetMap · spatial analysis · suitability &amp; network mapping</w:t>
      </w:r>
    </w:p>
    <w:p>
      <w:pPr>
        <w:spacing w:after="46" w:line="240"/>
        <w:ind w:left="1656" w:hanging="1656"/>
      </w:pPr>
      <w:r>
        <w:rPr>
          <w:rFonts w:ascii="Arial" w:cs="Arial" w:eastAsia="Arial" w:hAnsi="Arial"/>
          <w:b/>
          <w:bCs/>
          <w:color w:val="0E6E7D"/>
          <w:sz w:val="18"/>
          <w:szCs w:val="18"/>
        </w:rPr>
        <w:t xml:space="preserve">Programming &amp; data   </w:t>
      </w:r>
      <w:r>
        <w:rPr>
          <w:rFonts w:ascii="Arial" w:cs="Arial" w:eastAsia="Arial" w:hAnsi="Arial"/>
          <w:color w:val="16232B"/>
          <w:sz w:val="18"/>
          <w:szCs w:val="18"/>
        </w:rPr>
        <w:t xml:space="preserve">Python (routing, data processing, APIs) · R (demographic analysis) · LaTeX</w:t>
      </w:r>
    </w:p>
    <w:p>
      <w:pPr>
        <w:spacing w:after="46" w:line="240"/>
        <w:ind w:left="1656" w:hanging="1656"/>
      </w:pPr>
      <w:r>
        <w:rPr>
          <w:rFonts w:ascii="Arial" w:cs="Arial" w:eastAsia="Arial" w:hAnsi="Arial"/>
          <w:b/>
          <w:bCs/>
          <w:color w:val="0E6E7D"/>
          <w:sz w:val="18"/>
          <w:szCs w:val="18"/>
        </w:rPr>
        <w:t xml:space="preserve">Methods   </w:t>
      </w:r>
      <w:r>
        <w:rPr>
          <w:rFonts w:ascii="Arial" w:cs="Arial" w:eastAsia="Arial" w:hAnsi="Arial"/>
          <w:color w:val="16232B"/>
          <w:sz w:val="18"/>
          <w:szCs w:val="18"/>
        </w:rPr>
        <w:t xml:space="preserve">Vehicle routing &amp; graph algorithms · multi-criteria scoring models · comparative case study · field survey design</w:t>
      </w:r>
    </w:p>
    <w:p>
      <w:pPr>
        <w:spacing w:after="46" w:line="240"/>
        <w:ind w:left="1656" w:hanging="1656"/>
      </w:pPr>
      <w:r>
        <w:rPr>
          <w:rFonts w:ascii="Arial" w:cs="Arial" w:eastAsia="Arial" w:hAnsi="Arial"/>
          <w:b/>
          <w:bCs/>
          <w:color w:val="0E6E7D"/>
          <w:sz w:val="18"/>
          <w:szCs w:val="18"/>
        </w:rPr>
        <w:t xml:space="preserve">Domain   </w:t>
      </w:r>
      <w:r>
        <w:rPr>
          <w:rFonts w:ascii="Arial" w:cs="Arial" w:eastAsia="Arial" w:hAnsi="Arial"/>
          <w:color w:val="16232B"/>
          <w:sz w:val="18"/>
          <w:szCs w:val="18"/>
        </w:rPr>
        <w:t xml:space="preserve">Smart cities &amp; urban IoT · urban mobility · climate adaptation &amp; urban water · Dutch Omgevingswet and CROW standards</w:t>
      </w:r>
    </w:p>
    <w:p>
      <w:pPr>
        <w:spacing w:after="46" w:line="240"/>
        <w:ind w:left="1656" w:hanging="1656"/>
      </w:pPr>
      <w:r>
        <w:rPr>
          <w:rFonts w:ascii="Arial" w:cs="Arial" w:eastAsia="Arial" w:hAnsi="Arial"/>
          <w:b/>
          <w:bCs/>
          <w:color w:val="0E6E7D"/>
          <w:sz w:val="18"/>
          <w:szCs w:val="18"/>
        </w:rPr>
        <w:t xml:space="preserve">Certified   </w:t>
      </w:r>
      <w:r>
        <w:rPr>
          <w:rFonts w:ascii="Arial" w:cs="Arial" w:eastAsia="Arial" w:hAnsi="Arial"/>
          <w:color w:val="16232B"/>
          <w:sz w:val="18"/>
          <w:szCs w:val="18"/>
        </w:rPr>
        <w:t xml:space="preserve">UAS A1/A3 drone operator · TEFL/TESOL Level 5 · CEFR C1 English</w:t>
      </w:r>
    </w:p>
    <w:p>
      <w:pPr>
        <w:pBdr>
          <w:bottom w:val="single" w:color="0E6E7D" w:sz="6" w:space="3"/>
        </w:pBdr>
        <w:spacing w:after="90" w:before="260"/>
      </w:pPr>
      <w:r>
        <w:rPr>
          <w:rFonts w:ascii="Arial" w:cs="Arial" w:eastAsia="Arial" w:hAnsi="Arial"/>
          <w:b/>
          <w:bCs/>
          <w:color w:val="0E6E7D"/>
          <w:spacing w:val="24"/>
          <w:sz w:val="17"/>
          <w:szCs w:val="17"/>
        </w:rPr>
        <w:t xml:space="preserve">WORK EXPERIENCE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6232B"/>
          <w:sz w:val="19"/>
          <w:szCs w:val="19"/>
        </w:rPr>
        <w:t xml:space="preserve">Spatial planning &amp; smart mobility intern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02/2025 – 08/2025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E7180"/>
          <w:sz w:val="17"/>
          <w:szCs w:val="17"/>
        </w:rPr>
        <w:t xml:space="preserve">Hosoco (Holland Software Co.) · Ton Duc Thang University (VN) · Saxion (NL)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Built a Python program generating sensor-driven, dynamic waste-collection routes, integrating live bin fill-level data with the Google Routes API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Modelled the road network as a weighted graph of intersections, bins and depot, using cached Dijkstra shortest paths, a nearest-insertion construction heuristic, and event-triggered re-routing when a bin crosses its fill threshold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Designed and compared four bin-prioritisation models: rule-based thresholds, weighted arithmetic mean, exponential weighting, and a prize-collecting formulation driven by overflow probability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Evaluated the Google Routes, NextBillion.ai and HERE routing APIs against fleet requirements, input structure, pricing and rate limits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Presented the advisory framework to academic and industry stakeholders; the work was published by TDTU’s Faculty of Civil Engineering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6232B"/>
          <w:sz w:val="19"/>
          <w:szCs w:val="19"/>
        </w:rPr>
        <w:t xml:space="preserve">Chairman, academic committee Urban Studies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09/2023 – 10/2025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E7180"/>
          <w:sz w:val="17"/>
          <w:szCs w:val="17"/>
        </w:rPr>
        <w:t xml:space="preserve">Saxion University of Applied Sciences (NL)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Represented student interests in curriculum development and quality of education; advised on the Education and Examination Regulations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Led biweekly meetings with academic supervisors and represented the academy in the six-yearly national accreditation evaluation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6232B"/>
          <w:sz w:val="19"/>
          <w:szCs w:val="19"/>
        </w:rPr>
        <w:t xml:space="preserve">Chairman, 18th, 19th and 20th boards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02/2021 – 10/2022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E7180"/>
          <w:sz w:val="17"/>
          <w:szCs w:val="17"/>
        </w:rPr>
        <w:t xml:space="preserve">Study association s.v. Watt (NL)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First representative towards 500+ members, 15 academies and 5 external sponsors across three consecutive terms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Coordinated educational initiatives in partnership with university faculty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6232B"/>
          <w:sz w:val="19"/>
          <w:szCs w:val="19"/>
        </w:rPr>
        <w:t xml:space="preserve">Operations employee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10/2017 – 09/2026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E7180"/>
          <w:sz w:val="17"/>
          <w:szCs w:val="17"/>
        </w:rPr>
        <w:t xml:space="preserve">Albert Heijn, Deventer (NL)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Nine years of continuous part-time employment alongside full-time study</w:t>
      </w:r>
    </w:p>
    <w:p>
      <w:pPr>
        <w:pBdr>
          <w:bottom w:val="single" w:color="0E6E7D" w:sz="6" w:space="3"/>
        </w:pBdr>
        <w:spacing w:after="90" w:before="260"/>
      </w:pPr>
      <w:r>
        <w:rPr>
          <w:rFonts w:ascii="Arial" w:cs="Arial" w:eastAsia="Arial" w:hAnsi="Arial"/>
          <w:b/>
          <w:bCs/>
          <w:color w:val="0E6E7D"/>
          <w:spacing w:val="24"/>
          <w:sz w:val="17"/>
          <w:szCs w:val="17"/>
        </w:rPr>
        <w:t xml:space="preserve">SELECTED PROJECTS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6232B"/>
          <w:sz w:val="19"/>
          <w:szCs w:val="19"/>
        </w:rPr>
        <w:t xml:space="preserve">“Deventer by foot” — pedestrian network study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09/2025 – 02/2026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E7180"/>
          <w:sz w:val="17"/>
          <w:szCs w:val="17"/>
        </w:rPr>
        <w:t xml:space="preserve">Client: Goudappel (NL) · Saxion StadsLAB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Built the digital analysis layer: Overpass Turbo queries against OpenStreetMap, node filtering against defined inclusion criteria, and four QGIS network maps to the CROW national pedestrian-network standard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Worked with Goudappel’s Nederlands Verplaatsingspanel mobility data alongside own pedestrian counts and survey instruments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Contributed to the methodological framework (STOMP) and the physical barrier analysis across the IJssel, the canals and the rail network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6232B"/>
          <w:sz w:val="19"/>
          <w:szCs w:val="19"/>
        </w:rPr>
        <w:t xml:space="preserve">Graduation research — “Adaptive transformation of historical canals and quay walls in Java, Indonesia”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02/2026 – 08/2026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E7180"/>
          <w:sz w:val="17"/>
          <w:szCs w:val="17"/>
        </w:rPr>
        <w:t xml:space="preserve">Professorship of Sustainable Areas &amp; Soil Transitions, Saxion (NL) · Universitas Diponegoro (ID) · graded 4.0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Sole author of a comparative study across Semarang, Jakarta and Surabaya assessing technical integrity, functional use and spatial opportunity of colonial-era canal systems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Designed a segment-level 1–5 scoring instrument applied identically across all three cities, triangulated with historical document analysis, QGIS mapping and photographic field validation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Mapped urban water-governance structures per city and produced adaptive-transformation recommendations framed by the Dutch City Deal “Timeless Canals”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Named lead researcher by Universitas Diponegoro, coordinating one lecturer and three master’s students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6232B"/>
          <w:sz w:val="19"/>
          <w:szCs w:val="19"/>
        </w:rPr>
        <w:t xml:space="preserve">Minor — “Engineering the future (under)world”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09/2023 – 10/2025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E7180"/>
          <w:sz w:val="17"/>
          <w:szCs w:val="17"/>
        </w:rPr>
        <w:t xml:space="preserve">Saxion (NL) · municipalities across the Twente region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Translated soil and subsurface policy objectives into an operational work plan with Twente municipalities, within the funded national programme “Bodemkracht van Twente”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Produced water- and soil-driven area-development recommendations using demographic analysis in R and GIS-based suitability mapping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6232B"/>
          <w:sz w:val="19"/>
          <w:szCs w:val="19"/>
        </w:rPr>
        <w:t xml:space="preserve">Erasmus+ “Regenerative Urbanism” — blended intensive programme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09/2025 – 10/2025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E7180"/>
          <w:sz w:val="17"/>
          <w:szCs w:val="17"/>
        </w:rPr>
        <w:t xml:space="preserve">International multidisciplinary team (NL)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Developed a regenerative urban vision transforming a station-area parking site into a climate-resilient, multifunctional public space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Presented recommendations to Witteveen+Bos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6232B"/>
          <w:sz w:val="19"/>
          <w:szCs w:val="19"/>
        </w:rPr>
        <w:t xml:space="preserve">“Inclusive accessibility in the public domain”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02/2024 – 06/2024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E7180"/>
          <w:sz w:val="17"/>
          <w:szCs w:val="17"/>
        </w:rPr>
        <w:t xml:space="preserve">Universiteti Politeknik i Tiranës (AL) · Saxion (NL)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Comparative spatial analysis of accessibility and inclusiveness across public spaces, transport hubs and parks in the Netherlands and Albania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Developed spatial and policy recommendations for accessibility, walkability and social inclusion</w:t>
      </w:r>
    </w:p>
    <w:p>
      <w:pPr>
        <w:pBdr>
          <w:bottom w:val="single" w:color="0E6E7D" w:sz="6" w:space="3"/>
        </w:pBdr>
        <w:spacing w:after="90" w:before="260"/>
      </w:pPr>
      <w:r>
        <w:rPr>
          <w:rFonts w:ascii="Arial" w:cs="Arial" w:eastAsia="Arial" w:hAnsi="Arial"/>
          <w:b/>
          <w:bCs/>
          <w:color w:val="0E6E7D"/>
          <w:spacing w:val="24"/>
          <w:sz w:val="17"/>
          <w:szCs w:val="17"/>
        </w:rPr>
        <w:t xml:space="preserve">PUBLISHED RECORD</w:t>
      </w:r>
    </w:p>
    <w:p>
      <w:pPr>
        <w:pStyle w:val="ListParagraph"/>
        <w:numPr>
          <w:ilvl w:val="0"/>
          <w:numId w:val="1"/>
        </w:numPr>
        <w:spacing w:after="56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Ton Duc Thang University, Faculty of Civil Engineering — feature article on the internship, with certificate of completion  </w:t>
      </w:r>
      <w:hyperlink w:history="1" r:id="rIdiqvk5lhu4vtb2xtmrxitb">
        <w:r>
          <w:rPr>
            <w:rFonts w:ascii="Arial" w:cs="Arial" w:eastAsia="Arial" w:hAnsi="Arial"/>
            <w:color w:val="0E6E7D"/>
            <w:sz w:val="17"/>
            <w:szCs w:val="17"/>
            <w:u w:val="single"/>
          </w:rPr>
          <w:t xml:space="preserve">link</w:t>
        </w:r>
      </w:hyperlink>
    </w:p>
    <w:p>
      <w:pPr>
        <w:pStyle w:val="ListParagraph"/>
        <w:numPr>
          <w:ilvl w:val="0"/>
          <w:numId w:val="1"/>
        </w:numPr>
        <w:spacing w:after="56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Universitas Diponegoro, Postgraduate School — named lead researcher on the Saxion–UNDIP canal research collaboration  </w:t>
      </w:r>
      <w:hyperlink w:history="1" r:id="rId2xzawsmub14tmms9bpzxh">
        <w:r>
          <w:rPr>
            <w:rFonts w:ascii="Arial" w:cs="Arial" w:eastAsia="Arial" w:hAnsi="Arial"/>
            <w:color w:val="0E6E7D"/>
            <w:sz w:val="17"/>
            <w:szCs w:val="17"/>
            <w:u w:val="single"/>
          </w:rPr>
          <w:t xml:space="preserve">link</w:t>
        </w:r>
      </w:hyperlink>
    </w:p>
    <w:p>
      <w:pPr>
        <w:pStyle w:val="ListParagraph"/>
        <w:numPr>
          <w:ilvl w:val="0"/>
          <w:numId w:val="1"/>
        </w:numPr>
        <w:spacing w:after="56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FIP-AM@UT, University of Twente — “Vollebak”, the smart waste project behind the internship  </w:t>
      </w:r>
      <w:hyperlink w:history="1" r:id="rId-vmge-5rf_zdjlakgv0yh">
        <w:r>
          <w:rPr>
            <w:rFonts w:ascii="Arial" w:cs="Arial" w:eastAsia="Arial" w:hAnsi="Arial"/>
            <w:color w:val="0E6E7D"/>
            <w:sz w:val="17"/>
            <w:szCs w:val="17"/>
            <w:u w:val="single"/>
          </w:rPr>
          <w:t xml:space="preserve">link</w:t>
        </w:r>
      </w:hyperlink>
    </w:p>
    <w:p>
      <w:pPr>
        <w:pStyle w:val="ListParagraph"/>
        <w:numPr>
          <w:ilvl w:val="0"/>
          <w:numId w:val="1"/>
        </w:numPr>
        <w:spacing w:after="56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s.v. Watt — Wall of Fame, listed as chairman of the 18th, 19th and 20th boards  </w:t>
      </w:r>
      <w:hyperlink w:history="1" r:id="rIdwqoxljtbayffibi_hsbd1">
        <w:r>
          <w:rPr>
            <w:rFonts w:ascii="Arial" w:cs="Arial" w:eastAsia="Arial" w:hAnsi="Arial"/>
            <w:color w:val="0E6E7D"/>
            <w:sz w:val="17"/>
            <w:szCs w:val="17"/>
            <w:u w:val="single"/>
          </w:rPr>
          <w:t xml:space="preserve">link</w:t>
        </w:r>
      </w:hyperlink>
    </w:p>
    <w:p>
      <w:pPr>
        <w:pBdr>
          <w:bottom w:val="single" w:color="0E6E7D" w:sz="6" w:space="3"/>
        </w:pBdr>
        <w:spacing w:after="90" w:before="260"/>
      </w:pPr>
      <w:r>
        <w:rPr>
          <w:rFonts w:ascii="Arial" w:cs="Arial" w:eastAsia="Arial" w:hAnsi="Arial"/>
          <w:b/>
          <w:bCs/>
          <w:color w:val="0E6E7D"/>
          <w:spacing w:val="24"/>
          <w:sz w:val="17"/>
          <w:szCs w:val="17"/>
        </w:rPr>
        <w:t xml:space="preserve">EDUCATION</w:t>
      </w:r>
    </w:p>
    <w:p>
      <w:pPr>
        <w:tabs>
          <w:tab w:val="right" w:pos="9026"/>
        </w:tabs>
        <w:spacing w:after="58"/>
      </w:pPr>
      <w:r>
        <w:rPr>
          <w:rFonts w:ascii="Arial" w:cs="Arial" w:eastAsia="Arial" w:hAnsi="Arial"/>
          <w:b/>
          <w:bCs/>
          <w:color w:val="16232B"/>
          <w:sz w:val="18"/>
          <w:szCs w:val="18"/>
        </w:rPr>
        <w:t xml:space="preserve">B.Sc. Spatial Development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  —  Saxion University of Applied Sciences, Deventer (NL)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2022 – 2026</w:t>
      </w:r>
    </w:p>
    <w:p>
      <w:pPr>
        <w:tabs>
          <w:tab w:val="right" w:pos="9026"/>
        </w:tabs>
        <w:spacing w:after="58"/>
      </w:pPr>
      <w:r>
        <w:rPr>
          <w:rFonts w:ascii="Arial" w:cs="Arial" w:eastAsia="Arial" w:hAnsi="Arial"/>
          <w:b/>
          <w:bCs/>
          <w:color w:val="16232B"/>
          <w:sz w:val="18"/>
          <w:szCs w:val="18"/>
        </w:rPr>
        <w:t xml:space="preserve">Environmental Science — collaborative partnership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  —  Universitas Diponegoro, Semarang (ID)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2026</w:t>
      </w:r>
    </w:p>
    <w:p>
      <w:pPr>
        <w:tabs>
          <w:tab w:val="right" w:pos="9026"/>
        </w:tabs>
        <w:spacing w:after="58"/>
      </w:pPr>
      <w:r>
        <w:rPr>
          <w:rFonts w:ascii="Arial" w:cs="Arial" w:eastAsia="Arial" w:hAnsi="Arial"/>
          <w:b/>
          <w:bCs/>
          <w:color w:val="16232B"/>
          <w:sz w:val="18"/>
          <w:szCs w:val="18"/>
        </w:rPr>
        <w:t xml:space="preserve">City, Urban &amp; Regional Planning — collaborative partnership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  —  Ton Duc Thang University (VN)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2025</w:t>
      </w:r>
    </w:p>
    <w:p>
      <w:pPr>
        <w:tabs>
          <w:tab w:val="right" w:pos="9026"/>
        </w:tabs>
        <w:spacing w:after="58"/>
      </w:pPr>
      <w:r>
        <w:rPr>
          <w:rFonts w:ascii="Arial" w:cs="Arial" w:eastAsia="Arial" w:hAnsi="Arial"/>
          <w:b/>
          <w:bCs/>
          <w:color w:val="16232B"/>
          <w:sz w:val="18"/>
          <w:szCs w:val="18"/>
        </w:rPr>
        <w:t xml:space="preserve">Electrical &amp; Information Engineering — foundation, not completed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  —  Saxion (NL)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2019 – 2022</w:t>
      </w:r>
    </w:p>
    <w:p>
      <w:pPr>
        <w:tabs>
          <w:tab w:val="right" w:pos="9026"/>
        </w:tabs>
        <w:spacing w:after="58"/>
      </w:pPr>
      <w:r>
        <w:rPr>
          <w:rFonts w:ascii="Arial" w:cs="Arial" w:eastAsia="Arial" w:hAnsi="Arial"/>
          <w:b/>
          <w:bCs/>
          <w:color w:val="16232B"/>
          <w:sz w:val="18"/>
          <w:szCs w:val="18"/>
        </w:rPr>
        <w:t xml:space="preserve">Technical Informatics / Computer Engineering — foundation, not completed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  —  Saxion (NL)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2018 – 2019</w:t>
      </w:r>
    </w:p>
    <w:p>
      <w:pPr>
        <w:pBdr>
          <w:bottom w:val="single" w:color="0E6E7D" w:sz="6" w:space="3"/>
        </w:pBdr>
        <w:spacing w:after="90" w:before="260"/>
      </w:pPr>
      <w:r>
        <w:rPr>
          <w:rFonts w:ascii="Arial" w:cs="Arial" w:eastAsia="Arial" w:hAnsi="Arial"/>
          <w:b/>
          <w:bCs/>
          <w:color w:val="0E6E7D"/>
          <w:spacing w:val="24"/>
          <w:sz w:val="17"/>
          <w:szCs w:val="17"/>
        </w:rPr>
        <w:t xml:space="preserve">LANGUAGES</w:t>
      </w:r>
    </w:p>
    <w:p>
      <w:pPr>
        <w:spacing w:after="0" w:line="250"/>
      </w:pPr>
      <w:r>
        <w:rPr>
          <w:rFonts w:ascii="Arial" w:cs="Arial" w:eastAsia="Arial" w:hAnsi="Arial"/>
          <w:color w:val="16232B"/>
          <w:sz w:val="19"/>
          <w:szCs w:val="19"/>
        </w:rPr>
        <w:t xml:space="preserve">Dutch (native)  ·  English (native/bilingual, CEFR C1)  ·  German (professional working)  ·  Vietnamese (elementary)  ·  Russian (elementary)  ·  French (basic)</w:t>
      </w:r>
    </w:p>
    <w:sectPr>
      <w:pgSz w:w="11906" w:h="16838" w:orient="portrait"/>
      <w:pgMar w:top="850" w:right="950" w:bottom="7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32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lmdh45f-bjcw--jwrajm" Type="http://schemas.openxmlformats.org/officeDocument/2006/relationships/hyperlink" Target="https://bjornhettema.github.io/" TargetMode="External"/><Relationship Id="rIdx6znn7zmmhj5n79e_m4at" Type="http://schemas.openxmlformats.org/officeDocument/2006/relationships/hyperlink" Target="https://www.linkedin.com/in/bjorn-hettema-02286515b" TargetMode="External"/><Relationship Id="rIdiqvk5lhu4vtb2xtmrxitb" Type="http://schemas.openxmlformats.org/officeDocument/2006/relationships/hyperlink" Target="https://civil.tdtu.edu.vn/en/news-events/2026/strengthening-global-academic-ties-dutch-student-bjorn-hettemas-internship-urban" TargetMode="External"/><Relationship Id="rId2xzawsmub14tmms9bpzxh" Type="http://schemas.openxmlformats.org/officeDocument/2006/relationships/hyperlink" Target="https://pasca.undip.ac.id/en/collaboration-between-sps-undip-and-saxion-university-on-researching-the-history-of-canal-transformation-of-the-javanese-shore/" TargetMode="External"/><Relationship Id="rId-vmge-5rf_zdjlakgv0yh" Type="http://schemas.openxmlformats.org/officeDocument/2006/relationships/hyperlink" Target="https://fip.utwente.nl/nl/project/vollebak/" TargetMode="External"/><Relationship Id="rIdwqoxljtbayffibi_hsbd1" Type="http://schemas.openxmlformats.org/officeDocument/2006/relationships/hyperlink" Target="https://svwatt.com/en/association/board/wall-of-fame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Bjorn Hettema — CV</dc:title>
  <dc:creator>Bjorn Hettema</dc:creator>
  <dc:description>Curriculum vitae</dc:description>
  <cp:lastModifiedBy>Bjorn Hettema</cp:lastModifiedBy>
  <cp:revision>1</cp:revision>
  <dcterms:created xsi:type="dcterms:W3CDTF">2026-09-28T05:56:24.704Z</dcterms:created>
  <dcterms:modified xsi:type="dcterms:W3CDTF">2026-09-28T05:56:24.704Z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