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通用版与简化版策划案工作流程</w:t>
      </w:r>
    </w:p>
    <w:p>
      <w:r>
        <w:rPr>
          <w:b w:val="0"/>
        </w:rPr>
        <w:t>当前流程整理  版本 1.0  核对日期 2026 年 9 月 7 日</w:t>
      </w:r>
    </w:p>
    <w:p>
      <w:r>
        <w:rPr>
          <w:b w:val="0"/>
        </w:rPr>
        <w:t>本手册整理正在使用的两套功能策划案流程：以庇护所结构为参考的通用版，以及以在线奖励结构为基础的简化版。读者可据此选模板、组织写作、完成审核与交付。当前规则依据为功能策划案标准 v1.6。</w:t>
      </w:r>
    </w:p>
    <w:p>
      <w:r>
        <w:rPr>
          <w:b/>
        </w:rPr>
        <w:t>先判断文档用于方向评审还是最终实现，再判断功能复杂度。复杂功能可以先写简化评审稿；进入实现前必须补齐并迁移到通用最终案。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443"/>
        <w:gridCol w:w="3288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本次内容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1.0</w:t>
            </w:r>
          </w:p>
        </w:tc>
        <w:tc>
          <w:tcPr>
            <w:tcW w:type="dxa" w:w="544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整理现行两套流程、原始母版及复用入口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现行来源已核对；本手册不授予任何游戏功能开工权限</w:t>
            </w:r>
          </w:p>
        </w:tc>
      </w:tr>
    </w:tbl>
    <w:p>
      <w:pPr>
        <w:spacing w:after="0"/>
      </w:pPr>
    </w:p>
    <w:p>
      <w:pPr>
        <w:pStyle w:val="Heading2"/>
      </w:pPr>
      <w:r>
        <w:t>如何选择流程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1474"/>
        <w:gridCol w:w="5613"/>
      </w:tblGrid>
      <w:tr>
        <w:trPr>
          <w:tblHeader/>
          <w:cantSplit/>
        </w:trPr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当前任务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使用模板</w:t>
            </w:r>
          </w:p>
        </w:tc>
        <w:tc>
          <w:tcPr>
            <w:tcW w:type="dxa" w:w="5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关键条件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先确认体验与方向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简化版</w:t>
            </w:r>
          </w:p>
        </w:tc>
        <w:tc>
          <w:tcPr>
            <w:tcW w:type="dxa" w:w="5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标记 REVIEW_ONLY；列出最终实现案待补项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窄范围功能直接交付实现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简化版</w:t>
            </w:r>
          </w:p>
        </w:tc>
        <w:tc>
          <w:tcPr>
            <w:tcW w:type="dxa" w:w="5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全部简单最终条件成立，并通过文档和可编辑源检查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复杂功能交付实现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通用版</w:t>
            </w:r>
          </w:p>
        </w:tc>
        <w:tc>
          <w:tcPr>
            <w:tcW w:type="dxa" w:w="5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跨系统、多状态、配置密集或存在重要数据与中断风险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无法确定复杂度的最终案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通用版</w:t>
            </w:r>
          </w:p>
        </w:tc>
        <w:tc>
          <w:tcPr>
            <w:tcW w:type="dxa" w:w="5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先消除状态、数据权威和边界歧义</w:t>
            </w:r>
          </w:p>
        </w:tc>
      </w:tr>
    </w:tbl>
    <w:p>
      <w:pPr>
        <w:spacing w:after="0"/>
      </w:pPr>
    </w:p>
    <w:p>
      <w:pPr>
        <w:pStyle w:val="Heading2"/>
      </w:pPr>
      <w:r>
        <w:t>共同原则</w:t>
      </w:r>
    </w:p>
    <w:p>
      <w:r>
        <w:rPr>
          <w:b w:val="0"/>
        </w:rPr>
        <w:t>保留既定章节和责任面，在章节内部删重复规则、低价值表格及冗余配置字段。用户最新修改过的 Word、可编辑设计源与配置优先；模板中的示例和占位符不构成项目规则。</w:t>
      </w:r>
    </w:p>
    <w:p>
      <w:r>
        <w:rPr>
          <w:b w:val="0"/>
        </w:rPr>
        <w:t>新功能生产先确认真实项目、正式来源、负责人、范围、现有运行和 UI 基线。已初始化项目按其 RAG 合同取得新鲜引用；一般流程说明无需为此初始化游戏项目。本文只整理方法，不声称任何游戏功能已经完成。</w:t>
      </w:r>
    </w:p>
    <w:p>
      <w:pPr>
        <w:pStyle w:val="Heading2"/>
      </w:pPr>
      <w:r>
        <w:t>阅读顺序</w:t>
      </w:r>
    </w:p>
    <w:p>
      <w:r>
        <w:rPr>
          <w:b w:val="0"/>
        </w:rPr>
        <w:t>第二页：通用版写作；第三页：简化评审稿；第四页：简单最终案与升级；第五页：UE、配置和页面说明；第六页：审核与交付；第七页：复用入口与来源说明。</w:t>
      </w:r>
    </w:p>
    <w:p>
      <w:r>
        <w:br w:type="page"/>
      </w:r>
    </w:p>
    <w:p>
      <w:pPr>
        <w:pStyle w:val="Heading1"/>
      </w:pPr>
      <w:r>
        <w:t>通用版策划案流程</w:t>
      </w:r>
    </w:p>
    <w:p>
      <w:r>
        <w:rPr>
          <w:b w:val="0"/>
        </w:rPr>
        <w:t>用于 MATERIAL 复杂功能的 IMPLEMENTATION_CONTRACT。目标是让策划、程序、数值、UI、美术、音频和 QA 对状态、规则和边界得到同一种解释。</w:t>
      </w:r>
    </w:p>
    <w:p>
      <w:r>
        <w:rPr>
          <w:b/>
        </w:rPr>
        <w:t xml:space="preserve">1  只读接入  </w:t>
      </w:r>
      <w:r>
        <w:t>确认目标、范围与非目标、负责人、依赖、正式来源、当前配置、现有运行/UI 基线、输出路径、写入范围和验收证据。未决事实标为待确认并写负责人及关闭条件。</w:t>
      </w:r>
    </w:p>
    <w:p>
      <w:r>
        <w:rPr>
          <w:b/>
        </w:rPr>
        <w:t xml:space="preserve">2  复制母版并建立版本  </w:t>
      </w:r>
      <w:r>
        <w:t>复制 general-feature-design-template.docx 到目标项目。先填版本控制、版本历史、开发计划，再标记文档阶段、复杂度、审核状态与实现授权。不要修改安装目录中的母版。</w:t>
      </w:r>
    </w:p>
    <w:p>
      <w:r>
        <w:rPr>
          <w:b/>
        </w:rPr>
        <w:t xml:space="preserve">3  说明玩家价值与主循环  </w:t>
      </w:r>
      <w:r>
        <w:t>写清设计目的与非目标，用一句话确定玩家记忆点，用 3～8 条主循环短句说明入口、操作、反馈、结果、消耗与奖励。用系统框架图说明机制组成和关联。</w:t>
      </w:r>
    </w:p>
    <w:p>
      <w:r>
        <w:rPr>
          <w:b/>
        </w:rPr>
        <w:t xml:space="preserve">4  逐页 UE 后总流程  </w:t>
      </w:r>
      <w:r>
        <w:t>为页面、弹窗、HUD、结果页和状态组分配页面 ID，先画每页 UE，再组合为根级总画板。连线标注动作、事件或条件，覆盖主循环、分支、结果、返回和重进。</w:t>
      </w:r>
    </w:p>
    <w:p>
      <w:r>
        <w:rPr>
          <w:b/>
        </w:rPr>
        <w:t xml:space="preserve">5  定义配置与系统逻辑  </w:t>
      </w:r>
      <w:r>
        <w:t>列出准确表、字段及数据源。先给整体逻辑图，优先采用玩家操作、表现、系统逻辑三泳道；再写每个机制的触发、校验、状态、计时、读写、扣除/发放、反馈及失败处理。随机、批量、刷新与持久化按适用性展开。</w:t>
      </w:r>
    </w:p>
    <w:p>
      <w:r>
        <w:rPr>
          <w:b/>
        </w:rPr>
        <w:t xml:space="preserve">6  逐页解释玩家可见行为  </w:t>
      </w:r>
      <w:r>
        <w:t>每页按入口、机制、界面内容、交互反馈、显示状态、数据来源、异常边界说明。图片编号与文字对应，必要状态单独展开，避免一张缩略图承载全部说明。</w:t>
      </w:r>
    </w:p>
    <w:p>
      <w:r>
        <w:rPr>
          <w:b/>
        </w:rPr>
        <w:t xml:space="preserve">7  补齐下游责任  </w:t>
      </w:r>
      <w:r>
        <w:t>检查美术、音频、打点和关联系统；无需求写“无”。明确当前不做的扩展。把规则映射到正常、边界、空、满、失败、重试、中断和回归验收。</w:t>
      </w:r>
    </w:p>
    <w:p>
      <w:r>
        <w:rPr>
          <w:b/>
        </w:rPr>
        <w:t xml:space="preserve">8  同步审核并交付  </w:t>
      </w:r>
      <w:r>
        <w:t>主策与制作人完成文档级审核；核对 Word、可编辑图、配置和验收使用同一套页面 ID、字段、状态和版本。逐页渲染检查后交付，并分别记录实现与运行时 QA 状态。</w:t>
      </w:r>
    </w:p>
    <w:p>
      <w:pPr>
        <w:pStyle w:val="Heading2"/>
      </w:pPr>
      <w:r>
        <w:t>通用版的必需增量</w:t>
      </w:r>
    </w:p>
    <w:p>
      <w:r>
        <w:rPr>
          <w:b w:val="0"/>
        </w:rPr>
        <w:t>系统框架、页面 UE 组成的总流程、整体系统逻辑或泳道图、逐页 UI/UE、适用的状态与边界图，都需要可编辑正式源。复杂度体现在状态、数据和责任覆盖，不以页数判断。</w:t>
      </w:r>
    </w:p>
    <w:p>
      <w:r>
        <w:br w:type="page"/>
      </w:r>
    </w:p>
    <w:p>
      <w:pPr>
        <w:pStyle w:val="Heading1"/>
      </w:pPr>
      <w:r>
        <w:t>简化版方向评审流程</w:t>
      </w:r>
    </w:p>
    <w:p>
      <w:r>
        <w:rPr>
          <w:b w:val="0"/>
        </w:rPr>
        <w:t>REVIEW_ONLY 用于快速决定体验、核心规则、UE、配置形态和玩家可见行为。简单或复杂功能都可以进入这个阶段。复杂功能必须同时登记最终实现案缺口。</w:t>
      </w:r>
    </w:p>
    <w:p>
      <w:r>
        <w:rPr>
          <w:b/>
        </w:rPr>
        <w:t>首页显著写明 REVIEW_ONLY / NOT AUTHORIZED FOR IMPLEMENTATION，并记录 implementation_authority=false。方向评审通过只表示设计方向可以继续。</w:t>
      </w:r>
    </w:p>
    <w:p>
      <w:r>
        <w:rPr>
          <w:b/>
        </w:rPr>
        <w:t xml:space="preserve">1  接入并复制简单母版  </w:t>
      </w:r>
      <w:r>
        <w:t>记录只读需求回执、项目/UI 基线、当前评审要解决的问题。复制 simple-feature-design-template.docx；建立版本控制、历史和计划，补入阶段标识。</w:t>
      </w:r>
    </w:p>
    <w:p>
      <w:r>
        <w:rPr>
          <w:b/>
        </w:rPr>
        <w:t xml:space="preserve">2  体验预期与核心聚焦  </w:t>
      </w:r>
      <w:r>
        <w:t>用 1～3 条写玩家为何需要该功能；用 3～5 条可感知规则和一句话系统规则锁定方案。优先回答玩家看到什么、何时变化、如何得到反馈。</w:t>
      </w:r>
    </w:p>
    <w:p>
      <w:r>
        <w:rPr>
          <w:b/>
        </w:rPr>
        <w:t xml:space="preserve">3  建立页面与 UE 总流程  </w:t>
      </w:r>
      <w:r>
        <w:t>列全关键页面、弹窗、HUD 及必要状态，先画页面 UE，再放入同一可编辑画布，连接入口、操作、反馈、分支、返回和重进。</w:t>
      </w:r>
    </w:p>
    <w:p>
      <w:r>
        <w:rPr>
          <w:b/>
        </w:rPr>
        <w:t xml:space="preserve">4  写直接相关的配置形态  </w:t>
      </w:r>
      <w:r>
        <w:t>只列直接驱动核心规则和页面的配置表及字段，名称、类型与简短语义必须准确。正文引用配置，不重复整张表，也不填入未批准的数值。</w:t>
      </w:r>
    </w:p>
    <w:p>
      <w:r>
        <w:rPr>
          <w:b/>
        </w:rPr>
        <w:t xml:space="preserve">5  说明核心逻辑  </w:t>
      </w:r>
      <w:r>
        <w:t>用小流程和短句解释对象分类、解锁、主要操作、结果和关键阻断。尚不属于本次评审的完整实现状态、时序及恢复规则进入待补清单。</w:t>
      </w:r>
    </w:p>
    <w:p>
      <w:r>
        <w:rPr>
          <w:b/>
        </w:rPr>
        <w:t xml:space="preserve">6  图旁说明页面  </w:t>
      </w:r>
      <w:r>
        <w:t>采用真实截图、已批准线框或低保真页面图。图旁说明入口、默认位置、按钮、显示条件、状态差异、数据来源、反馈和去向。图上已经清楚的布局无需重复描述。</w:t>
      </w:r>
    </w:p>
    <w:p>
      <w:r>
        <w:rPr>
          <w:b/>
        </w:rPr>
        <w:t xml:space="preserve">7  明确边界与相关需求  </w:t>
      </w:r>
      <w:r>
        <w:t>列出本次评审必须决定的边界；已知但未展开的实现风险不能写成“暂无”。简记音频、打点和关联系统，删除无关模板残留。</w:t>
      </w:r>
    </w:p>
    <w:p>
      <w:r>
        <w:rPr>
          <w:b/>
        </w:rPr>
        <w:t xml:space="preserve">8  建立升级清单并审核  </w:t>
      </w:r>
      <w:r>
        <w:t>每个最终案缺口写明负责人和关闭条件。主策与制作人审查本次决定；DOCX 完成逐页 PNG 检查。可编辑源未验证的门禁保持 Pending。</w:t>
      </w:r>
    </w:p>
    <w:p>
      <w:pPr>
        <w:pStyle w:val="Heading2"/>
      </w:pPr>
      <w:r>
        <w:t>这个阶段怎样算完成</w:t>
      </w:r>
    </w:p>
    <w:p>
      <w:r>
        <w:rPr>
          <w:b w:val="0"/>
        </w:rPr>
        <w:t>可标记“方向可评审”或“方向评审通过”。后者要求本次决定已解决、纳入的规则/页面/配置一致，且遗漏的最终责任面已有清单、负责人和关闭条件。保留禁止实现标识；不得据此宣称完整 QA 或运行时验收完成。</w:t>
      </w:r>
    </w:p>
    <w:p>
      <w:r>
        <w:br w:type="page"/>
      </w:r>
    </w:p>
    <w:p>
      <w:pPr>
        <w:pStyle w:val="Heading1"/>
      </w:pPr>
      <w:r>
        <w:t>简化版最终案与升级条件</w:t>
      </w:r>
    </w:p>
    <w:p>
      <w:pPr>
        <w:pStyle w:val="Heading2"/>
      </w:pPr>
      <w:r>
        <w:t>简单最终案必须全部满足的条件</w:t>
      </w:r>
    </w:p>
    <w:p>
      <w:r>
        <w:rPr>
          <w:b w:val="0"/>
        </w:rPr>
        <w:t>只有一条窄范围玩家循环；主页面及紧密相关状态少；一张表或少量直接映射字段；依赖、边界、失败和返回可以短句枚举；没有重大跨系统、经济、概率、存档、重连、批量或并发歧义；程序和 QA 短读后只有一种合理解释。</w:t>
      </w:r>
    </w:p>
    <w:p>
      <w:pPr>
        <w:pStyle w:val="Heading2"/>
      </w:pPr>
      <w:r>
        <w:t>从简单母版到最终实现案</w:t>
      </w:r>
    </w:p>
    <w:p>
      <w:r>
        <w:rPr>
          <w:b/>
        </w:rPr>
        <w:t xml:space="preserve">1  记录接入与阶段  </w:t>
      </w:r>
      <w:r>
        <w:t>核对现有运行/UI 基线，标记 IMPLEMENTATION_CONTRACT 与 NARROW，逐项说明为何满足简单最终条件。实现授权依据另外记录，不能由文档标签自动推定。</w:t>
      </w:r>
    </w:p>
    <w:p>
      <w:r>
        <w:rPr>
          <w:b/>
        </w:rPr>
        <w:t xml:space="preserve">2  写体验和 UE  </w:t>
      </w:r>
      <w:r>
        <w:t>一句玩家记忆点、3～5 条规则；完成逐页低保真位置与信息层级、关键状态，以及页面 UE 组成的完整总流程。</w:t>
      </w:r>
    </w:p>
    <w:p>
      <w:r>
        <w:rPr>
          <w:b/>
        </w:rPr>
        <w:t xml:space="preserve">3  补齐短而准确的合同  </w:t>
      </w:r>
      <w:r>
        <w:t>保留版本、目录、目的、概述、UE、配置、核心逻辑、状态边界、UI、资源/音频/打点、关联系统、QA、待确认项和升级条件。写出必要的数据与时间契约及异常配置处理。</w:t>
      </w:r>
    </w:p>
    <w:p>
      <w:r>
        <w:rPr>
          <w:b/>
        </w:rPr>
        <w:t xml:space="preserve">4  审核并核对交付  </w:t>
      </w:r>
      <w:r>
        <w:t>主策与制作人完成文档审核；Word、可编辑图和配置一致，逐页视觉检查通过。阻断性待确认项解决前不进入依赖它的实现；不适用项写明理由。</w:t>
      </w:r>
    </w:p>
    <w:p>
      <w:pPr>
        <w:pStyle w:val="Heading2"/>
      </w:pPr>
      <w:r>
        <w:t>出现任何一项就升级到通用最终案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896"/>
      </w:tblGrid>
      <w:tr>
        <w:trPr>
          <w:tblHeader/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升级信号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最终案必须补足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影响核心循环、成长、经济或战斗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系统框架、机制边界、数据权威与结果规则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多入口、多页、多状态或复杂返回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完整页面清单、UE 主分支与状态解释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多表、存档、远端状态或服务依赖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字段引用、校验链、读写权威和刷新时机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批量、重置、返还、跨日或中断风险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持久化、重连、并发、补偿及恢复规则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程序或 QA 存在两种合理解释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消除歧义的规则、验收用例和责任归属</w:t>
            </w:r>
          </w:p>
        </w:tc>
      </w:tr>
    </w:tbl>
    <w:p>
      <w:pPr>
        <w:spacing w:after="0"/>
      </w:pPr>
    </w:p>
    <w:p>
      <w:pPr>
        <w:pStyle w:val="Heading2"/>
      </w:pPr>
      <w:r>
        <w:t>迁移怎样完成</w:t>
      </w:r>
    </w:p>
    <w:p>
      <w:r>
        <w:rPr>
          <w:b w:val="0"/>
        </w:rPr>
        <w:t>保留已批准体验和规则，复制通用母版并建立新版本；补齐系统框架、状态/数据权威、配置校验、持久化/中断、资源规格、QA 与验收。同步页面 ID、状态、字段和图，再重新审核。复杂评审稿进入实现准备时触发迁移，不能只把旧稿状态改为“最终”。</w:t>
      </w:r>
    </w:p>
    <w:p>
      <w:r>
        <w:br w:type="page"/>
      </w:r>
    </w:p>
    <w:p>
      <w:pPr>
        <w:pStyle w:val="Heading1"/>
      </w:pPr>
      <w:r>
        <w:t>两套流程共用的写作要求</w:t>
      </w:r>
    </w:p>
    <w:p>
      <w:pPr>
        <w:pStyle w:val="Heading2"/>
      </w:pPr>
      <w:r>
        <w:t>先页面 UE 再总流程</w:t>
      </w:r>
    </w:p>
    <w:p>
      <w:r>
        <w:rPr>
          <w:b w:val="0"/>
        </w:rPr>
        <w:t>总流程必须由各关键页面的 UE Frame 组成，展示功能如何运行。每页包含信息层级、主要操作和关键反馈；每条连接注明动作、系统事件或条件。纯页面名空框、无序截图墙和实现事件图不能替代它。</w:t>
      </w:r>
    </w:p>
    <w:p>
      <w:r>
        <w:rPr>
          <w:b w:val="0"/>
        </w:rPr>
        <w:t>按适用性核对入口、主路径、确认、取消、返回、关闭、成功、失败、重试、空、锁定、资源不足、已领取、售罄、刷新、过期、中断、重开和重连。每个分支都应有明确去向；大功能可拆子流程，但保留根图的入口与返回。</w:t>
      </w:r>
    </w:p>
    <w:p>
      <w:pPr>
        <w:pStyle w:val="Heading2"/>
      </w:pPr>
      <w:r>
        <w:t>配置必须能准确定位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2211"/>
        <w:gridCol w:w="2211"/>
        <w:gridCol w:w="3345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名称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字段名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数据类型</w:t>
            </w:r>
          </w:p>
        </w:tc>
        <w:tc>
          <w:tcPr>
            <w:tcW w:type="dxa" w:w="3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备注应说明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准确表名或数据对象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准确字段，不写“见配置”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整数、小数、布尔或枚举等</w:t>
            </w:r>
          </w:p>
        </w:tc>
        <w:tc>
          <w:tcPr>
            <w:tcW w:type="dxa" w:w="334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语义、单位、默认值、范围、通用规则与特殊行为</w:t>
            </w:r>
          </w:p>
        </w:tc>
      </w:tr>
    </w:tbl>
    <w:p>
      <w:pPr>
        <w:spacing w:after="0"/>
      </w:pPr>
    </w:p>
    <w:p>
      <w:r>
        <w:rPr>
          <w:b w:val="0"/>
        </w:rPr>
        <w:t>按项目管线写准确来源，例如 config/csv/items.csv::price、ResourceName.field、SaveData.field 或 Service.event/state。以上只是定位语法示例，并非要求项目新增这些文件。用户修改过的实际配置优先。</w:t>
      </w:r>
    </w:p>
    <w:p>
      <w:pPr>
        <w:pStyle w:val="Heading2"/>
      </w:pPr>
      <w:r>
        <w:t>每张页面图都要解释行为</w:t>
      </w:r>
    </w:p>
    <w:p>
      <w:r>
        <w:rPr>
          <w:b w:val="0"/>
        </w:rPr>
        <w:t>使用同一套页面 ID 和图上编号。解释元素含义、显示条件、点击/长按/返回行为、禁用/锁定/加载/空/错误状态、数据来源、更新责任和刷新时机。关键组件单独放大；不靠缩字、裁切或仅用颜色表达关键信息。</w:t>
      </w:r>
    </w:p>
    <w:p>
      <w:pPr>
        <w:pStyle w:val="Heading2"/>
      </w:pPr>
      <w:r>
        <w:t>可编辑图与证据登记</w:t>
      </w:r>
    </w:p>
    <w:p>
      <w:r>
        <w:rPr>
          <w:b w:val="0"/>
        </w:rPr>
        <w:t>默认使用 Penpot；项目已正式批准的其他可编辑工具按项目决定执行，历史验收的 Figma/FigJam 仍是有效历史证据。验证已认证编辑权限、保存后重开或对象级回读，并核对导出与源版本一致。</w:t>
      </w:r>
    </w:p>
    <w:p>
      <w:r>
        <w:rPr>
          <w:b w:val="0"/>
        </w:rPr>
        <w:t>登记 penpot_url、workspace_id、project_id、file_id、page_or_board、object_refs、source_version、owner、review_state、coverage、local_source_backup。截图、PNG、SVG 或打开的浏览器不能单独证明可编辑源通过。</w:t>
      </w:r>
    </w:p>
    <w:p>
      <w:pPr>
        <w:pStyle w:val="Heading2"/>
      </w:pPr>
      <w:r>
        <w:t>版式和减法</w:t>
      </w:r>
    </w:p>
    <w:p>
      <w:r>
        <w:rPr>
          <w:b w:val="0"/>
        </w:rPr>
        <w:t>正式策划案沿用对应母版的 A4、标题样式、表格职责及修订语义；版本管理置于第一页，使用真实标题与自动目录。图要清晰，表格自动增高。重要规则、修订、配置与备注可按标准配色，但颜色同时配文字说明。删除重复内容，不删除必要章节和责任面。</w:t>
      </w:r>
    </w:p>
    <w:p>
      <w:r>
        <w:br w:type="page"/>
      </w:r>
    </w:p>
    <w:p>
      <w:pPr>
        <w:pStyle w:val="Heading1"/>
      </w:pPr>
      <w:r>
        <w:t>审核与交付</w:t>
      </w:r>
    </w:p>
    <w:p>
      <w:pPr>
        <w:pStyle w:val="Heading2"/>
      </w:pPr>
      <w:r>
        <w:t>按文档阶段分别检查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4082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方向评审稿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最终实现案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本次结论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体验与方案决定清楚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完整规则只有一种合理解释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状态与配置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所含范围一致，缺口显式登记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适用状态、字段、权威、时序和校验齐全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UE 与页面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关键页面与操作可理解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页面、分支、边界和返回完整且一致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可编辑源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未验证的门禁保留 Pending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权限、保存/回读及匹配导出通过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QA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记录本次边界与后续待补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正常、边界、空满、中断、失败与回归可推导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审核结论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方向可评审或方向评审通过</w:t>
            </w:r>
          </w:p>
        </w:tc>
        <w:tc>
          <w:tcPr>
            <w:tcW w:type="dxa" w:w="408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文档可交付；实现权限与运行时验收另记</w:t>
            </w:r>
          </w:p>
        </w:tc>
      </w:tr>
    </w:tbl>
    <w:p>
      <w:pPr>
        <w:spacing w:after="0"/>
      </w:pPr>
    </w:p>
    <w:p>
      <w:pPr>
        <w:pStyle w:val="Heading2"/>
      </w:pPr>
      <w:r>
        <w:t>交付前的实际动作</w:t>
      </w:r>
    </w:p>
    <w:p>
      <w:r>
        <w:rPr>
          <w:b/>
        </w:rPr>
        <w:t xml:space="preserve">1  内容交叉核对  </w:t>
      </w:r>
      <w:r>
        <w:t>从 Word 页面清单反查总流程，再由规则查配置和 QA。主策与制作人审核记录写版本、结论和未决项，不把作者自检冒充制作人批准。</w:t>
      </w:r>
    </w:p>
    <w:p>
      <w:r>
        <w:rPr>
          <w:b/>
        </w:rPr>
        <w:t xml:space="preserve">2  逐页视觉核对  </w:t>
      </w:r>
      <w:r>
        <w:t>刷新自动目录与页码，把最新 DOCX 渲染成 PNG，逐页查看文字、表格、图片、分页和页眉页脚。修复后重新渲染受影响的最新文件。</w:t>
      </w:r>
    </w:p>
    <w:p>
      <w:r>
        <w:rPr>
          <w:b/>
        </w:rPr>
        <w:t xml:space="preserve">3  整理同版本交付包  </w:t>
      </w:r>
      <w:r>
        <w:t>交付可编辑 DOCX、可编辑图链接/登记表/源备份、清晰 PNG、相关配置或准确定位，以及所需参考视频、资源/音频/打点和 QA 记录。</w:t>
      </w:r>
    </w:p>
    <w:p>
      <w:r>
        <w:rPr>
          <w:b/>
        </w:rPr>
        <w:t xml:space="preserve">4  保留清晰状态  </w:t>
      </w:r>
      <w:r>
        <w:t>分别写方向评审、最终文档、可编辑源、实现、运行时 QA 与发布状态。文档或静态图通过不能证明功能在游戏里运行正确。</w:t>
      </w:r>
    </w:p>
    <w:p>
      <w:pPr>
        <w:pStyle w:val="Heading2"/>
      </w:pPr>
      <w:r>
        <w:t>文件与发布规则</w:t>
      </w:r>
    </w:p>
    <w:p>
      <w:r>
        <w:rPr>
          <w:b w:val="0"/>
        </w:rPr>
        <w:t>正式文档仅交付可编辑 Word，不生成新的 PDF 交付件或评审副本。若排版渲染内部需要临时 PDF，只放在系统临时目录，PNG 检查结束后清除。Markdown、JSON、CSV 等保留工程、配置与版本管理用途。</w:t>
      </w:r>
    </w:p>
    <w:p>
      <w:r>
        <w:rPr>
          <w:b w:val="0"/>
        </w:rPr>
        <w:t>GitHub 上传前核对目标仓库、差异及待提交文件，只提交本次包；凭据、项目私人数据与无关参考不进入仓库。上传后回读远端提交号和文件，保留原始来源校验值。</w:t>
      </w:r>
    </w:p>
    <w:p>
      <w:r>
        <w:br w:type="page"/>
      </w:r>
    </w:p>
    <w:p>
      <w:pPr>
        <w:pStyle w:val="Heading1"/>
      </w:pPr>
      <w:r>
        <w:t>复用入口与来源说明</w:t>
      </w:r>
    </w:p>
    <w:p>
      <w:pPr>
        <w:pStyle w:val="Heading2"/>
      </w:pPr>
      <w:r>
        <w:t>如何使用这个归档包</w:t>
      </w:r>
    </w:p>
    <w:p>
      <w:r>
        <w:rPr>
          <w:b w:val="0"/>
        </w:rPr>
        <w:t>先读本手册，再复制 skills/game-feature-design-docs/assets 中的一份母版到目标项目。包内保留主 Skill 和两个模板入口。发布副本清除个人编辑元数据，并修正简化母版的表头跨页；规则正文保持。游戏工作流、文档与设计工具需另外具备，本包不是完整插件安装包。</w:t>
      </w:r>
    </w:p>
    <w:p>
      <w:r>
        <w:rPr>
          <w:b w:val="0"/>
        </w:rPr>
        <w:t>安装位置通过当前 Codex 的个人 Skills 配置解析；不要把他人的绝对路径复制成全局要求。复制安装前保留已有版本，按来源校验清单核对内容。母版不能直接视为填写完成的策划案。</w:t>
      </w:r>
    </w:p>
    <w:p>
      <w:pPr>
        <w:pStyle w:val="Heading2"/>
      </w:pPr>
      <w:r>
        <w:t>可直接使用的请求示例</w:t>
      </w:r>
    </w:p>
    <w:p>
      <w:r>
        <w:rPr>
          <w:b w:val="0"/>
        </w:rPr>
        <w:t>通用版：请使用 game-feature-design-docs 的通用模板，为［功能］编写最终实现案。先核对［项目］正式来源和现有基线，保留模板骨架，完成页面 UE 总流程、配置、机制、状态边界、逐页 UI 和 QA；交付可编辑 Word 与已验证的可编辑图。</w:t>
      </w:r>
    </w:p>
    <w:p>
      <w:r>
        <w:rPr>
          <w:b w:val="0"/>
        </w:rPr>
        <w:t>简化版评审：请为［功能］写简化方向评审稿，标记 REVIEW_ONLY，暂不授权实现。用体验预期、3～5 条核心规则、逐页 UE 与总流程、配置形态和图旁说明讲清方案，并列出最终案待补项、负责人及升级条件。</w:t>
      </w:r>
    </w:p>
    <w:p>
      <w:r>
        <w:rPr>
          <w:b w:val="0"/>
        </w:rPr>
        <w:t>简单最终案：请先逐项核对［功能］是否满足全部 NARROW 条件。满足时用简单模板编写 IMPLEMENTATION_CONTRACT，保留完整责任面；若存在复杂状态、跨系统或持久化歧义，改用通用最终模板。</w:t>
      </w:r>
    </w:p>
    <w:p>
      <w:pPr>
        <w:pStyle w:val="Heading2"/>
      </w:pPr>
      <w:r>
        <w:t>当前来源与已知版本差异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6576"/>
      </w:tblGrid>
      <w:tr>
        <w:trPr>
          <w:tblHeader/>
          <w:cantSplit/>
        </w:trP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65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5EDF4"/>
          </w:tcPr>
          <w:p>
            <w:pPr>
              <w:spacing w:after="20" w:line="269" w:lineRule="auto"/>
            </w:pPr>
            <w:r>
              <w:rPr>
                <w:b/>
                <w:sz w:val="21"/>
              </w:rPr>
              <w:t>本次处理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主 Skill 与全局功能文档标准</w:t>
            </w:r>
          </w:p>
        </w:tc>
        <w:tc>
          <w:tcPr>
            <w:tcW w:type="dxa" w:w="65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当前标准为 v1.6；两处标准文件哈希一致。包内保存主 Skill 和标准原文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通用与简单 Word 母版</w:t>
            </w:r>
          </w:p>
        </w:tc>
        <w:tc>
          <w:tcPr>
            <w:tcW w:type="dxa" w:w="65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保留规则正文，清理个人元数据，简化版修正表头跨页。记录来源与发布校验值；部分骨架仍需按 v1.6 补齐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简化母版的阶段字段缺口</w:t>
            </w:r>
          </w:p>
        </w:tc>
        <w:tc>
          <w:tcPr>
            <w:tcW w:type="dxa" w:w="65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写作时补 document_class、implementation_authority、REVIEW_ONLY 禁止实现标识和最终案待补清单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两母版的图登记字段缺口</w:t>
            </w:r>
          </w:p>
        </w:tc>
        <w:tc>
          <w:tcPr>
            <w:tcW w:type="dxa" w:w="65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写作时补全本手册第五页列出的 Artifact Register 全部字段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旧插件及模板入口描述</w:t>
            </w:r>
          </w:p>
        </w:tc>
        <w:tc>
          <w:tcPr>
            <w:tcW w:type="dxa" w:w="65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69" w:lineRule="auto"/>
            </w:pPr>
            <w:r>
              <w:rPr>
                <w:b w:val="0"/>
                <w:sz w:val="21"/>
              </w:rPr>
              <w:t>部分仍引用 v1.5 或只按复杂度选择。阶段与复杂度路由以现行 v1.6 为准</w:t>
            </w:r>
          </w:p>
        </w:tc>
      </w:tr>
    </w:tbl>
    <w:p>
      <w:pPr>
        <w:spacing w:after="0"/>
      </w:pPr>
    </w:p>
    <w:p>
      <w:r>
        <w:rPr>
          <w:b w:val="0"/>
        </w:rPr>
        <w:t>原项目参考文档仅用于说明模板来源，本包不包含其内容。没有更改本机安装的 Skill、母版或全局规则。两套流程的来源定位和哈希见 source-manifest.json；机器入口示例见 prompts/。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当前第 </w:t>
    </w:r>
    <w:r>
      <w:rPr>
        <w:sz w:val="18"/>
      </w:rPr>
    </w:r>
    <w:fldSimple w:instr="PAGE"/>
    <w:r>
      <w:rPr>
        <w:sz w:val="18"/>
      </w:rPr>
      <w:t xml:space="preserve"> 页  共 </w:t>
    </w:r>
    <w:r>
      <w:rPr>
        <w:sz w:val="18"/>
      </w:rPr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功能策划案工作流程  通用版与简化版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8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88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8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8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8" w:lineRule="auto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通用版与简化版策划案工作流程</dc:title>
  <dc:subject>当前采用流程的整理与复用说明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