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t>更新日期：2026-09-06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竖屏设计分辨率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scripts/app/main.gd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当前 Godot 窗口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project.godot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横屏默认分辨率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1280x720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跨项目默认；当前项目固定竖屏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分辨率权威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2026-08-25 制作人决策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取代旧 1080x1920 / 540x960 规则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t>动物出生或当前推进建筑死亡、消失、转为盟友时，选择最近的敌方建筑并锁定为推进目标；寻路过程中不因出现新的动物或更近建筑而改道。动物只攻击自身攻击范围内的敌对动物或建筑。2026-09-06 修订：受击时，只有未在射程内交战、且当前索敌目标比攻击者远超过 1 格，才转火追击实际伤害来源至第一次反击；无有效目标时保留直接反击。玩家拖动地图和查看地块不能改变上述目标。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金矿定额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每个势力有且仅有 1 块基地相邻起始金矿和 1 块非相邻额外金矿；额外金矿优先放入最靠近地图中心的合法圈，同圈种子打散并保持地图对称，整图固定 2 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t>动物营地/大厅的召唤进度条使用更短、更细的小条；基地与金矿用同类小条显示统一 3 秒金币生产进度。建筑生命条同样收窄。战斗中的单位血条、建筑生命条和生产进度条只保留一条底槽加填充，不额外绘制下方黑色阴影条。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pPr/>
      <w:r>
        <w:t>基地与金矿共用当前 3 秒收入计时。每座有效基地和金矿都在建筑下方显示由空到满的紧凑生产进度条；周期完成时按建筑逐座结算，并在对应建筑上方播放金币图标与 +12 或 +10 上浮淡出动效。该显示只拆分反馈来源，不改变总收入、计时周期或淘汰队伍不再结算的规则。</w:t>
      </w: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pPr>
        <w:keepNext/>
      </w:pPr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t>注意：当前战斗单位为了放慢节奏，移动速度在战斗内统一乘以 0.5，攻击速度也降为原来的 50%。卡牌升级仍会按等级系数放大攻击、速度、射程和召唤间隔；最大生命不再参与百分比放大，改用第 15.2 节的固定成长规则。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t>动物触发金币效果时，在该动物头顶显示金币图标与 +数量，短暂上浮并淡出；同一动物在极短时间内连续触发时合并数字，避免大量单位同时产金造成信息噪音。基地与金矿周期完成时也在各自建筑上方显示同类动效，但按单座建筑分别显示对应基础收入。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t>没有有效攻击锁定时，才扫描攻击范围内的敌对动物和建筑并保存稳定锁定；普通范围外候选不能改变推进路径。</w:t>
      </w:r>
    </w:p>
    <w:p>
      <w:pPr>
        <w:spacing w:after="80" w:line="300" w:lineRule="auto"/>
        <w:numPr>
          <w:ilvl w:val="0"/>
          <w:numId w:val="24"/>
        </w:numPr>
      </w:pPr>
      <w:r>
        <w:t>当前攻击目标仍存活、仍敌对且仍在射程内时持续攻击同一目标，包括攻击冷却期间；目标死亡、关系失效或离开射程时才释放。未在射程内交战且受击时，仅当当前索敌目标比实际伤害来源远超过 1 格，才临时锁定来源并追击至第一次反击；无有效索敌目标时直接反击。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t>除受击后的首次反击例外外，不追逐攻击范围外的动物，也不因途中出现更近建筑而重新寻路；首次反击后立即恢复普通射程锁定。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t>每个基地有且仅有 1 个相邻起始金矿和 1 个 50 金币营地；每名玩家另有 1 个不与基地相邻的额外金矿。额外金矿位于全部合法候选中最靠近地图中心的六边格距离圈，同圈由布局种子稳定打散，并保持镜像或六重旋转对称。每名玩家的初始领地连通，整张地图也必须连通。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不参与普通地块随机池；固定 1 块基地相邻矿和 1 块最靠近地图中心合法圈的非相邻矿；显示生产进度与结算动效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固定基地，不参与随机；显示生产进度与结算动效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p>
      <w:pPr>
        <w:pStyle w:val="Heading1"/>
      </w:pPr>
      <w:r>
        <w:t>14. 2026-08-12 制作人调整</w:t>
      </w:r>
    </w:p>
    <w:p>
      <w:pPr>
        <w:pStyle w:val="Heading2"/>
      </w:pPr>
      <w:r>
        <w:t>14.1 默认镜头与经典地图战线</w:t>
      </w:r>
    </w:p>
    <w:p>
      <w:pPr>
        <w:pStyle w:val="ListBullet"/>
      </w:pPr>
      <w:r>
        <w:t>所有轴向六边形战斗棋盘的默认视觉镜头倍率固定为 1.30，即相对原始 1.00 拉近 30%。地块、动物和建筑使用同一镜头投影；HUD 与底部信息区保持原尺寸。</w:t>
      </w:r>
    </w:p>
    <w:p>
      <w:pPr>
        <w:pStyle w:val="ListBullet"/>
      </w:pPr>
      <w:r>
        <w:t>镜头倍率只影响世界坐标到屏幕坐标的绘制、命中反算、拖动边界与可视范围，不得改变移动速度、攻击距离、碰撞、寻路、地块邻接或服务器战斗状态。</w:t>
      </w:r>
    </w:p>
    <w:p>
      <w:pPr>
        <w:pStyle w:val="ListBullet"/>
      </w:pPr>
      <w:r>
        <w:t>经典单人和段位 AI 使用的全部 5 张 1V1 地图必须执行独立战线优化：双方预归属格数相等且各自连通，双方直接相邻的公共六边格边不少于 9 条，并至少保留 1 格中立争夺格。</w:t>
      </w:r>
    </w:p>
    <w:p>
      <w:pPr>
        <w:pStyle w:val="ListBullet"/>
      </w:pPr>
      <w:r>
        <w:t>经典战线优化后双方各 37 格；双方新增战线格复制同一站点与价格模板，到各自基地的六边格距离差不超过 2，并按对局种子交替分配。多人房间、六人自由混战与 MultiplayerRules.create_match() 的多人生成结果不得被此优化修改。</w:t>
      </w:r>
    </w:p>
    <w:p>
      <w:pPr>
        <w:pStyle w:val="Heading2"/>
      </w:pPr>
      <w:r>
        <w:t>14.2 账号密码登录与手机包</w:t>
      </w:r>
    </w:p>
    <w:p>
      <w:pPr>
        <w:pStyle w:val="ListBullet"/>
      </w:pPr>
      <w:r>
        <w:t>账号中心必须提供用户名和密码的注册、登录入口；用户名不区分大小写，长度 3–32，密码长度 8–72。密码不得明文落盘或进入日志。</w:t>
      </w:r>
    </w:p>
    <w:p>
      <w:pPr>
        <w:pStyle w:val="ListBullet"/>
      </w:pPr>
      <w:r>
        <w:t>登录成功后由服务器签发会话并绑定当前安装凭据，后续启动自动恢复同一账号；卡牌、等级、卡组、抽卡券、段位和镜像资料以服务器档案为权威。</w:t>
      </w:r>
    </w:p>
    <w:p>
      <w:pPr>
        <w:pStyle w:val="ListBullet"/>
      </w:pPr>
      <w:r>
        <w:t>错误账号或密码统一返回不泄露账户存在性的失败提示。手机包必须保持竖屏、具备 Internet 权限，并使用项目批准的云服务器地址；本地服务不作为发布验收。</w:t>
      </w:r>
    </w:p>
    <w:p>
      <w:pPr>
        <w:pStyle w:val="Heading1"/>
      </w:pPr>
      <w:r>
        <w:t>15. 2026-08-12 群体增益与升级生命修订</w:t>
      </w:r>
    </w:p>
    <w:p>
      <w:pPr>
        <w:pStyle w:val="Heading2"/>
      </w:pPr>
      <w:r>
        <w:t>15.1 召唤快照型己方群体属性增益</w:t>
      </w:r>
    </w:p>
    <w:p>
      <w:pPr>
        <w:pStyle w:val="ListBullet"/>
      </w:pPr>
      <w:r>
        <w:t>所有会对己方全体动物增加攻击、最大生命或移动速度的技能统一改为召唤快照：每次召唤该技能动物时，读取触发瞬间仍在场且存活的己方所有动物，并对该名单各结算一次对应属性增益。</w:t>
      </w:r>
    </w:p>
    <w:p>
      <w:pPr>
        <w:pStyle w:val="ListBullet"/>
      </w:pPr>
      <w:r>
        <w:t>触发名单必须包含刚召唤的技能动物自身；该次结算完成后不再按帧、按秒、按技能冷却或因名单变化重复触发。</w:t>
      </w:r>
    </w:p>
    <w:p>
      <w:pPr>
        <w:pStyle w:val="ListBullet"/>
      </w:pPr>
      <w:r>
        <w:t>该次结算之后才召唤的己方动物不补发旧增益。之后再次召唤同类技能动物时，以新的在场名单再结算一次；多个技能动物的不同召唤次数允许按次叠加。</w:t>
      </w:r>
    </w:p>
    <w:p>
      <w:pPr>
        <w:pStyle w:val="ListBullet"/>
      </w:pPr>
      <w:r>
        <w:t>己方按当前盟友关系判定，包含多人组队中的盟友阵营；敌方、已阵亡动物和尚未生成的动物不进入名单。</w:t>
      </w:r>
    </w:p>
    <w:p>
      <w:pPr>
        <w:pStyle w:val="ListBullet"/>
      </w:pPr>
      <w:r>
        <w:t>当前同类可见技能必须全量纳入扫描与回归：羊、狐狸、天鹅、马、斑马、长颈鹿。自然语言只影响范围或目标、不属于己方全体属性增加的技能不得被误改。</w:t>
      </w:r>
    </w:p>
    <w:p>
      <w:pPr>
        <w:pStyle w:val="ListBullet"/>
      </w:pPr>
      <w:r>
        <w:t>周期刷新只允许重算眩晕、减速、加速等临时状态，不得重新施加上述永久群体属性增益，也不得向后来召唤的动物补发。</w:t>
      </w:r>
    </w:p>
    <w:p>
      <w:pPr>
        <w:pStyle w:val="Heading2"/>
      </w:pPr>
      <w:r>
        <w:t>15.2 动物升级最大生命固定成长</w:t>
      </w:r>
    </w:p>
    <w:p>
      <w:pPr>
        <w:pStyle w:val="ListBullet"/>
      </w:pPr>
      <w:r>
        <w:t>动物按基础攻击范围分类：基础攻击范围不大于 40 为近战，大于 40 为远程；是否带召唤技能不再改变近战或远程分类。</w:t>
      </w:r>
    </w:p>
    <w:p>
      <w:pPr>
        <w:pStyle w:val="ListBullet"/>
      </w:pPr>
      <w:r>
        <w:t>最大生命不再乘以统一升级百分比。近战动物累计升级生命为等级减一：Lv.1 +0、Lv.2 +1、Lv.3 +2，之后每级 +1。</w:t>
      </w:r>
    </w:p>
    <w:p>
      <w:pPr>
        <w:pStyle w:val="ListBullet"/>
      </w:pPr>
      <w:r>
        <w:t>远程动物累计升级生命为 floor(等级 / 2)：Lv.1 +0、Lv.2–3 +1、Lv.4–5 +2，之后每到偶数等级 +1。</w:t>
      </w:r>
    </w:p>
    <w:p>
      <w:pPr>
        <w:pStyle w:val="ListBullet"/>
      </w:pPr>
      <w:r>
        <w:t>防御塔、金矿及其他非动物卡不使用动物固定生命成长；攻击、速度、射程和召唤间隔继续沿用现有等级系数。</w:t>
      </w:r>
    </w:p>
    <w:p>
      <w:pPr>
        <w:pStyle w:val="ListBullet"/>
      </w:pPr>
      <w:r>
        <w:t>卡牌详情、战斗召唤、单人 AI、多人玩家卡组与 AI 镜像必须通过同一 CardRules.card_stats 公式取值，禁止另设旁路。</w:t>
      </w:r>
    </w:p>
    <w:p>
      <w:pPr>
        <w:pStyle w:val="Heading1"/>
        <w:spacing w:after="80" w:before="160" w:line="276" w:lineRule="auto"/>
      </w:pPr>
      <w:r>
        <w:t>16. 2026-08-25 金币反馈、受击反击与中心金矿修订</w:t>
      </w:r>
    </w:p>
    <w:p>
      <w:pPr>
        <w:pStyle w:val="Heading2"/>
        <w:spacing w:after="80" w:before="160" w:line="276" w:lineRule="auto"/>
      </w:pPr>
      <w:r>
        <w:t>16.1 基地与金矿生产反馈</w:t>
      </w:r>
    </w:p>
    <w:p>
      <w:pPr>
        <w:pStyle w:val="ListBullet"/>
        <w:spacing w:after="80" w:line="276" w:lineRule="auto"/>
      </w:pPr>
      <w:r>
        <w:t>基地和金矿继续共用 3 秒收入周期，每座建筑显示同类紧凑生产进度条。</w:t>
      </w:r>
    </w:p>
    <w:p>
      <w:pPr>
        <w:pStyle w:val="ListBullet"/>
        <w:spacing w:after="80" w:line="276" w:lineRule="auto"/>
      </w:pPr>
      <w:r>
        <w:t>每次周期完成后逐建筑结算：基地 +12、金矿 +10；每座建筑上方分别播放金币图标与对应 +数值上浮淡出动效，总收入不变。</w:t>
      </w:r>
    </w:p>
    <w:p>
      <w:pPr>
        <w:pStyle w:val="ListBullet"/>
        <w:spacing w:after="80" w:line="276" w:lineRule="auto"/>
      </w:pPr>
      <w:r>
        <w:t>进度和动效属于世界内反馈，不改变建筑生命、攻击、收入配置、多人队伍独立金币或淘汰判定。</w:t>
      </w:r>
    </w:p>
    <w:p>
      <w:pPr>
        <w:pStyle w:val="Heading2"/>
        <w:spacing w:after="80" w:before="160" w:line="276" w:lineRule="auto"/>
      </w:pPr>
      <w:r>
        <w:t>16.2 移动受击反击</w:t>
      </w:r>
    </w:p>
    <w:p>
      <w:pPr>
        <w:pStyle w:val="ListBullet"/>
        <w:spacing w:after="80" w:line="276" w:lineRule="auto"/>
      </w:pPr>
      <w:r>
        <w:t>2026-09-06 修订：动物受到存活敌方单位、基地或防御塔的实际生命伤害时，若未在攻击状态，且当前索敌目标比攻击者远超过 1 格，则转火并追击攻击者至第一次反击。无有效索敌目标时仍直接反击。</w:t>
      </w:r>
    </w:p>
    <w:p>
      <w:pPr>
        <w:pStyle w:val="ListBullet"/>
        <w:spacing w:after="80" w:line="276" w:lineRule="auto"/>
      </w:pPr>
      <w:r>
        <w:t>范围内已有存活敌对攻击目标即视为攻击状态，包括攻击冷却等待，受击也不换目标。未交战时，当前索敌目标优先取有效的范围外反击追击目标，否则取有效推进建筑。比较受击瞬间双方世界直线距离，差值严格大于 1 格才转火；恰好 1 格及以下不转火。1 格为相邻六边格中心距离，即 sqrt(3) × HEX_SIZE，当前约 74.478 世界单位，不改现有塔射程换算。</w:t>
      </w:r>
    </w:p>
    <w:p>
      <w:pPr>
        <w:pStyle w:val="ListBullet"/>
        <w:spacing w:after="80" w:line="276" w:lineRule="auto"/>
      </w:pPr>
      <w:r>
        <w:t>第一次反击后取消临时追击例外；后续按普通锁敌规则，在目标死亡、关系失效或离开射程时释放并重新选择。</w:t>
      </w:r>
    </w:p>
    <w:p>
      <w:pPr>
        <w:pStyle w:val="Heading2"/>
        <w:spacing w:after="80" w:before="160" w:line="276" w:lineRule="auto"/>
      </w:pPr>
      <w:r>
        <w:t>16.3 额外金矿中心圈</w:t>
      </w:r>
    </w:p>
    <w:p>
      <w:pPr>
        <w:pStyle w:val="ListBullet"/>
        <w:spacing w:after="80" w:line="276" w:lineRule="auto"/>
      </w:pPr>
      <w:r>
        <w:t>每名玩家仍固定拥有 1 个基地相邻起始金矿和 1 个非相邻额外金矿，不增减经济配额。</w:t>
      </w:r>
    </w:p>
    <w:p>
      <w:pPr>
        <w:pStyle w:val="ListBullet"/>
        <w:spacing w:after="80" w:line="276" w:lineRule="auto"/>
      </w:pPr>
      <w:r>
        <w:t>额外金矿优先选择本方全部合法候选中六边格中心距离最小的圈，同圈再由布局种子稳定打散。</w:t>
      </w:r>
    </w:p>
    <w:p>
      <w:pPr>
        <w:pStyle w:val="ListBullet"/>
        <w:spacing w:after="80" w:line="276" w:lineRule="auto"/>
      </w:pPr>
      <w:r>
        <w:t>1V1/2V2 保持镜像，3V3 与自由混战保持六重旋转；额外金矿不能落在基地相邻圈，因此开局不能直接解锁两座金矿。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2026-09-06: 受击转火增加严格一格距离差条件；攻击冷却不转火。</dc:description>
  <cp:lastModifiedBy/>
  <cp:revision>1</cp:revision>
  <dcterms:created xsi:type="dcterms:W3CDTF">2013-12-23T23:15:00Z</dcterms:created>
  <dcterms:modified xsi:type="dcterms:W3CDTF">2026-08-25T00:00:00Z</dcterms:modified>
  <cp:category/>
</cp:coreProperties>
</file>