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0B2545"/>
          <w:sz w:val="46"/>
        </w:rPr>
        <w:t>3V3 阵营地块记分牌</w:t>
      </w:r>
    </w:p>
    <w:p>
      <w:pPr>
        <w:spacing w:before="0" w:after="280" w:line="264" w:lineRule="auto"/>
      </w:pPr>
      <w:r>
        <w:rPr>
          <w:rFonts w:ascii="Calibri" w:hAnsi="Calibri" w:eastAsia="Microsoft YaHei"/>
          <w:b w:val="0"/>
          <w:color w:val="596470"/>
          <w:sz w:val="24"/>
        </w:rPr>
        <w:t>双边房间战斗 HUD · 显示规则、数据口径与验收标准</w:t>
      </w:r>
    </w:p>
    <w:p>
      <w:pPr>
        <w:spacing w:before="0" w:after="160" w:line="264" w:lineRule="auto"/>
        <w:pBdr>
          <w:bottom w:val="single" w:sz="10" w:space="6" w:color="2E74B5"/>
        </w:pBdr>
      </w:pPr>
    </w:p>
    <w:p>
      <w:pPr>
        <w:pStyle w:val="Heading1"/>
      </w:pPr>
      <w:r>
        <w:t>目标</w:t>
      </w:r>
    </w:p>
    <w:p>
      <w:pPr>
        <w:spacing w:before="0" w:after="140" w:line="264" w:lineRule="auto"/>
      </w:pPr>
      <w:r>
        <w:rPr>
          <w:rFonts w:ascii="Calibri" w:hAnsi="Calibri" w:eastAsia="Microsoft YaHei"/>
          <w:b w:val="0"/>
          <w:color w:val="1E1E1E"/>
          <w:sz w:val="22"/>
        </w:rPr>
        <w:t>在双边 3V3 房间战斗中持续显示双方当前地块控制数，让玩家不离开棋盘即可比较阵营态势与实际颜色归属。</w:t>
      </w:r>
    </w:p>
    <w:p>
      <w:pPr>
        <w:pStyle w:val="Heading1"/>
      </w:pPr>
      <w:r>
        <w:t>HUD 规则</w:t>
      </w:r>
    </w:p>
    <w:p>
      <w:pPr>
        <w:spacing w:before="0" w:after="140" w:line="264" w:lineRule="auto"/>
      </w:pPr>
      <w:r>
        <w:rPr>
          <w:rFonts w:ascii="Calibri" w:hAnsi="Calibri" w:eastAsia="Microsoft YaHei"/>
          <w:b w:val="0"/>
          <w:color w:val="1E1E1E"/>
          <w:sz w:val="22"/>
        </w:rPr>
        <w:t>仅在多人、非六人自由混战、且每边三名玩家时显示。顶部记分牌固定为 A 方（槽位 1-3）与 B 方（槽位 4-6）两栏；每栏包含阵营名、三个槽位色点和“地块数 + 格”。本地所在阵营额外使用金色描边和“我方”标签，对方显示“敌方”。</w:t>
      </w:r>
    </w:p>
    <w:p>
      <w:pPr>
        <w:pStyle w:val="Heading1"/>
      </w:pPr>
      <w:r>
        <w:t>数据口径</w:t>
      </w:r>
    </w:p>
    <w:p>
      <w:pPr>
        <w:spacing w:before="0" w:after="140" w:line="264" w:lineRule="auto"/>
      </w:pPr>
      <w:r>
        <w:rPr>
          <w:rFonts w:ascii="Calibri" w:hAnsi="Calibri" w:eastAsia="Microsoft YaHei"/>
          <w:b w:val="0"/>
          <w:color w:val="1E1E1E"/>
          <w:sz w:val="22"/>
        </w:rPr>
        <w:t>地块数按 BoardRules.visual_owner(tile) 聚合，不只统计已真实解锁的 tile.team。因此预归属、软占领、真实解锁和基地易主后的可见阵营色与记分牌数保持一致。现有联网快照已同步完整 tiles，功能不新增服务端字段或网络消息。</w:t>
      </w:r>
    </w:p>
    <w:p>
      <w:pPr>
        <w:pStyle w:val="Heading1"/>
      </w:pPr>
      <w:r>
        <w:t>实现边界</w:t>
      </w:r>
    </w:p>
    <w:p>
      <w:pPr>
        <w:spacing w:before="0" w:after="140" w:line="264" w:lineRule="auto"/>
      </w:pPr>
      <w:r>
        <w:rPr>
          <w:rFonts w:ascii="Calibri" w:hAnsi="Calibri" w:eastAsia="Microsoft YaHei"/>
          <w:b w:val="0"/>
          <w:color w:val="1E1E1E"/>
          <w:sz w:val="22"/>
        </w:rPr>
        <w:t>main.gd 只负责显示条件、阵营聚合与绘制；测试覆盖初始地块数、软占领后的实时变化、颜色槽位与模式门槛。不修改结算、地块归属、盟友关系、自由混战排行榜或服务端快照协议。</w:t>
      </w:r>
    </w:p>
    <w:p>
      <w:pPr>
        <w:pStyle w:val="Heading1"/>
      </w:pPr>
      <w:r>
        <w:t>验收标准</w:t>
      </w:r>
    </w:p>
    <w:p>
      <w:pPr>
        <w:spacing w:before="0" w:after="140" w:line="264" w:lineRule="auto"/>
      </w:pPr>
      <w:r>
        <w:rPr>
          <w:rFonts w:ascii="Calibri" w:hAnsi="Calibri" w:eastAsia="Microsoft YaHei"/>
          <w:b w:val="0"/>
          <w:color w:val="1E1E1E"/>
          <w:sz w:val="22"/>
        </w:rPr>
        <w:t>以下条件全部成立后视为完成。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0B2545"/>
          <w:sz w:val="22"/>
        </w:rPr>
        <w:t>可见性：</w:t>
      </w:r>
      <w:r>
        <w:rPr>
          <w:rFonts w:ascii="Calibri" w:hAnsi="Calibri" w:eastAsia="Microsoft YaHei"/>
          <w:b w:val="0"/>
          <w:color w:val="1E1E1E"/>
          <w:sz w:val="22"/>
        </w:rPr>
        <w:t>任意 3V3 地图顶部同时显示 A、B 两栏；1V1、2V2 和自由混战不显示。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0B2545"/>
          <w:sz w:val="22"/>
        </w:rPr>
        <w:t>准确性：</w:t>
      </w:r>
      <w:r>
        <w:rPr>
          <w:rFonts w:ascii="Calibri" w:hAnsi="Calibri" w:eastAsia="Microsoft YaHei"/>
          <w:b w:val="0"/>
          <w:color w:val="1E1E1E"/>
          <w:sz w:val="22"/>
        </w:rPr>
        <w:t>每栏数值等于该阵营所有槽位的可见归属格总数，并在占领、转移或基地易主后的下一帧更新。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0B2545"/>
          <w:sz w:val="22"/>
        </w:rPr>
        <w:t>颜色：</w:t>
      </w:r>
      <w:r>
        <w:rPr>
          <w:rFonts w:ascii="Calibri" w:hAnsi="Calibri" w:eastAsia="Microsoft YaHei"/>
          <w:b w:val="0"/>
          <w:color w:val="1E1E1E"/>
          <w:sz w:val="22"/>
        </w:rPr>
        <w:t>每栏三个色点与本局棋盘中对应槽位的阵营色一致；我方栏始终有金色强调。</w:t>
      </w:r>
    </w:p>
    <w:p>
      <w:pPr>
        <w:spacing w:before="0" w:after="100" w:line="264" w:lineRule="auto"/>
      </w:pPr>
      <w:r>
        <w:rPr>
          <w:rFonts w:ascii="Calibri" w:hAnsi="Calibri" w:eastAsia="Microsoft YaHei"/>
          <w:b/>
          <w:color w:val="0B2545"/>
          <w:sz w:val="22"/>
        </w:rPr>
        <w:t>回归：</w:t>
      </w:r>
      <w:r>
        <w:rPr>
          <w:rFonts w:ascii="Calibri" w:hAnsi="Calibri" w:eastAsia="Microsoft YaHei"/>
          <w:b w:val="0"/>
          <w:color w:val="1E1E1E"/>
          <w:sz w:val="22"/>
        </w:rPr>
        <w:t>多人匹配规则、自由混战排行榜和经典战斗回归测试保持通过。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b w:val="0"/>
        <w:color w:val="596470"/>
        <w:sz w:val="18"/>
      </w:rPr>
      <w:t>内部规格 · 2026-07-18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b/>
        <w:color w:val="596470"/>
        <w:sz w:val="18"/>
      </w:rPr>
      <w:t>丛林法则 | 战斗 HUD 功能规格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b w:val="0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